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8313" w14:textId="77777777" w:rsidR="007A7AD3" w:rsidRDefault="007A7AD3" w:rsidP="00A840BB">
      <w:pPr>
        <w:pStyle w:val="Default"/>
      </w:pPr>
    </w:p>
    <w:p w14:paraId="5934637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lang w:val="pl-PL"/>
        </w:rPr>
        <w:t>ZAŁĄCZNIK 6: WZÓR UMOWY MIĘDZY BENEFICJENTEM A UCZESTNIKIEM MOBILNOŚCI PROGRAMU ERASMUS+</w:t>
      </w:r>
    </w:p>
    <w:p w14:paraId="49D89B48" w14:textId="0DB17BED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highlight w:val="yellow"/>
          <w:lang w:val="pl-PL"/>
        </w:rPr>
        <w:t>HED</w:t>
      </w:r>
    </w:p>
    <w:p w14:paraId="15C9E4D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4BE9B098" w14:textId="3DB53036" w:rsidR="00167A91" w:rsidRPr="00DE54FD" w:rsidRDefault="00167A91" w:rsidP="00DE54FD">
      <w:pPr>
        <w:jc w:val="center"/>
        <w:rPr>
          <w:b/>
          <w:bCs/>
          <w:sz w:val="24"/>
          <w:szCs w:val="24"/>
          <w:highlight w:val="cyan"/>
          <w:lang w:val="nl-BE"/>
        </w:rPr>
      </w:pPr>
      <w:r>
        <w:rPr>
          <w:sz w:val="24"/>
          <w:szCs w:val="24"/>
          <w:lang w:val="nl-BE"/>
        </w:rPr>
        <w:t xml:space="preserve">Projekt nr: </w:t>
      </w:r>
      <w:r w:rsidRPr="00167A91">
        <w:rPr>
          <w:sz w:val="24"/>
          <w:szCs w:val="24"/>
          <w:highlight w:val="lightGray"/>
          <w:lang w:val="nl-BE"/>
        </w:rPr>
        <w:t>[YYYY-R-NA00-KA000-FFF-000000000]</w:t>
      </w:r>
    </w:p>
    <w:p w14:paraId="6778608C" w14:textId="77777777" w:rsidR="00984DD3" w:rsidRPr="0074440F" w:rsidRDefault="00984DD3" w:rsidP="00A840BB">
      <w:pPr>
        <w:jc w:val="both"/>
        <w:rPr>
          <w:sz w:val="24"/>
          <w:szCs w:val="24"/>
          <w:highlight w:val="yellow"/>
          <w:lang w:val="pl-PL"/>
        </w:rPr>
      </w:pPr>
    </w:p>
    <w:p w14:paraId="6708C073" w14:textId="77777777" w:rsidR="004F5366" w:rsidRPr="00AD6739" w:rsidRDefault="004F5366" w:rsidP="00A840BB">
      <w:pPr>
        <w:jc w:val="both"/>
        <w:rPr>
          <w:sz w:val="22"/>
          <w:szCs w:val="22"/>
          <w:lang w:val="pl-PL"/>
        </w:rPr>
      </w:pPr>
      <w:r w:rsidRPr="00AD6739">
        <w:rPr>
          <w:sz w:val="24"/>
          <w:szCs w:val="24"/>
          <w:lang w:val="pl-PL"/>
        </w:rPr>
        <w:t>Sektor: Szkolnictwo wyższe</w:t>
      </w:r>
    </w:p>
    <w:p w14:paraId="55CBDC0F" w14:textId="77777777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Rok akademicki: 20</w:t>
      </w:r>
      <w:r w:rsidRPr="004F5366">
        <w:rPr>
          <w:sz w:val="24"/>
          <w:szCs w:val="24"/>
          <w:highlight w:val="lightGray"/>
          <w:lang w:val="pl-PL"/>
        </w:rPr>
        <w:t>..</w:t>
      </w:r>
      <w:r w:rsidRPr="00AD6739">
        <w:rPr>
          <w:sz w:val="24"/>
          <w:szCs w:val="24"/>
          <w:lang w:val="pl-PL"/>
        </w:rPr>
        <w:t>/20</w:t>
      </w:r>
      <w:r w:rsidRPr="004F5366">
        <w:rPr>
          <w:sz w:val="24"/>
          <w:szCs w:val="24"/>
          <w:highlight w:val="lightGray"/>
          <w:lang w:val="pl-PL"/>
        </w:rPr>
        <w:t>..</w:t>
      </w:r>
    </w:p>
    <w:p w14:paraId="7436CCC7" w14:textId="2D04FFBF" w:rsidR="004F5366" w:rsidRPr="0074440F" w:rsidRDefault="3D8489D9" w:rsidP="00A840BB">
      <w:pPr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 xml:space="preserve">Numer mobilności w programie Erasmus+: </w:t>
      </w:r>
      <w:r w:rsidRPr="0074440F">
        <w:rPr>
          <w:sz w:val="24"/>
          <w:szCs w:val="24"/>
          <w:highlight w:val="lightGray"/>
          <w:lang w:val="pl-PL"/>
        </w:rPr>
        <w:t>[jeżeli dotyczy</w:t>
      </w:r>
      <w:r w:rsidR="00A840BB">
        <w:rPr>
          <w:sz w:val="24"/>
          <w:szCs w:val="24"/>
          <w:highlight w:val="lightGray"/>
          <w:lang w:val="pl-PL"/>
        </w:rPr>
        <w:t xml:space="preserve"> - lub nie dotyczy</w:t>
      </w:r>
      <w:r w:rsidRPr="0074440F">
        <w:rPr>
          <w:sz w:val="24"/>
          <w:szCs w:val="24"/>
          <w:highlight w:val="lightGray"/>
          <w:lang w:val="pl-PL"/>
        </w:rPr>
        <w:t>]</w:t>
      </w:r>
    </w:p>
    <w:p w14:paraId="13A804DA" w14:textId="77777777" w:rsidR="001E60A5" w:rsidRPr="0074440F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74440F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74440F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5FB54F05" w:rsidR="001E60A5" w:rsidRPr="008C3E37" w:rsidRDefault="001E60A5" w:rsidP="00A840BB">
      <w:pPr>
        <w:jc w:val="both"/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="00A840BB">
        <w:rPr>
          <w:b/>
          <w:sz w:val="24"/>
          <w:szCs w:val="24"/>
        </w:rPr>
        <w:t>u</w:t>
      </w:r>
      <w:r w:rsidRPr="008C3E37">
        <w:rPr>
          <w:b/>
          <w:sz w:val="24"/>
          <w:szCs w:val="24"/>
        </w:rPr>
        <w:t>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p w14:paraId="2AE83401" w14:textId="5E176EE1" w:rsidR="001E60A5" w:rsidRPr="001E60A5" w:rsidRDefault="001E60A5" w:rsidP="00A840BB">
      <w:pPr>
        <w:jc w:val="both"/>
        <w:rPr>
          <w:b/>
          <w:sz w:val="24"/>
          <w:szCs w:val="24"/>
        </w:rPr>
      </w:pPr>
      <w:r w:rsidRPr="008C3E37">
        <w:rPr>
          <w:b/>
          <w:sz w:val="24"/>
          <w:szCs w:val="24"/>
        </w:rPr>
        <w:t>z jednej strony,</w:t>
      </w:r>
    </w:p>
    <w:p w14:paraId="08C614F4" w14:textId="77777777" w:rsidR="004F5366" w:rsidRDefault="004F5366" w:rsidP="00A840BB">
      <w:pPr>
        <w:jc w:val="both"/>
        <w:rPr>
          <w:sz w:val="24"/>
          <w:szCs w:val="24"/>
          <w:lang w:val="pl-PL"/>
        </w:rPr>
      </w:pPr>
    </w:p>
    <w:p w14:paraId="321E7E87" w14:textId="657C9B0E" w:rsidR="004F5366" w:rsidRPr="001E60A5" w:rsidRDefault="3D8489D9" w:rsidP="00A840BB">
      <w:pPr>
        <w:jc w:val="both"/>
        <w:rPr>
          <w:sz w:val="24"/>
          <w:szCs w:val="24"/>
          <w:highlight w:val="lightGray"/>
          <w:lang w:val="pl-PL"/>
        </w:rPr>
      </w:pPr>
      <w:r w:rsidRPr="2031D444">
        <w:rPr>
          <w:sz w:val="24"/>
          <w:szCs w:val="24"/>
          <w:highlight w:val="lightGray"/>
          <w:lang w:val="pl-PL"/>
        </w:rPr>
        <w:t>pełna nazwa urzędowa i kod Erasmusa instytucji wysyłającej</w:t>
      </w:r>
      <w:r w:rsidR="0090521C">
        <w:rPr>
          <w:sz w:val="24"/>
          <w:szCs w:val="24"/>
          <w:highlight w:val="lightGray"/>
          <w:lang w:val="pl-PL"/>
        </w:rPr>
        <w:t>, jeżeli dotyczy</w:t>
      </w:r>
      <w:r w:rsidRPr="2031D444">
        <w:rPr>
          <w:color w:val="00B050"/>
          <w:sz w:val="24"/>
          <w:szCs w:val="24"/>
          <w:highlight w:val="lightGray"/>
          <w:lang w:val="pl-PL"/>
        </w:rPr>
        <w:t>]</w:t>
      </w:r>
    </w:p>
    <w:p w14:paraId="12839616" w14:textId="77777777" w:rsidR="00DE54FD" w:rsidRDefault="00DE54FD" w:rsidP="00A840BB">
      <w:pPr>
        <w:jc w:val="both"/>
        <w:rPr>
          <w:color w:val="00B050"/>
          <w:sz w:val="24"/>
          <w:szCs w:val="24"/>
          <w:lang w:val="pl-PL"/>
        </w:rPr>
      </w:pPr>
    </w:p>
    <w:p w14:paraId="1DAF3A3C" w14:textId="6B074F8C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 xml:space="preserve">Adres: </w:t>
      </w:r>
      <w:r w:rsidRPr="004F5366">
        <w:rPr>
          <w:sz w:val="24"/>
          <w:szCs w:val="24"/>
          <w:highlight w:val="lightGray"/>
          <w:lang w:val="pl-PL"/>
        </w:rPr>
        <w:t>[pełny adres siedziby]</w:t>
      </w:r>
    </w:p>
    <w:p w14:paraId="7A965051" w14:textId="116D9E1F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E-mail: </w:t>
      </w:r>
    </w:p>
    <w:p w14:paraId="585ED560" w14:textId="77777777" w:rsidR="00481637" w:rsidRDefault="00481637" w:rsidP="00A840BB">
      <w:pPr>
        <w:jc w:val="both"/>
        <w:rPr>
          <w:sz w:val="24"/>
          <w:szCs w:val="24"/>
          <w:lang w:val="pl-PL"/>
        </w:rPr>
      </w:pPr>
    </w:p>
    <w:p w14:paraId="26DA3840" w14:textId="74EA3777" w:rsidR="00A840BB" w:rsidRDefault="3D8489D9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“</w:t>
      </w:r>
      <w:r w:rsidRPr="2031D444">
        <w:rPr>
          <w:b/>
          <w:bCs/>
          <w:sz w:val="24"/>
          <w:szCs w:val="24"/>
          <w:lang w:val="pl-PL"/>
        </w:rPr>
        <w:t>Instytucją</w:t>
      </w:r>
      <w:r w:rsidRPr="2031D444">
        <w:rPr>
          <w:sz w:val="24"/>
          <w:szCs w:val="24"/>
          <w:lang w:val="pl-PL"/>
        </w:rPr>
        <w:t xml:space="preserve">”, reprezentowany/-a do celów podpisania niniejszej umowy przez </w:t>
      </w:r>
      <w:r w:rsidRPr="2031D444">
        <w:rPr>
          <w:sz w:val="24"/>
          <w:szCs w:val="24"/>
          <w:highlight w:val="lightGray"/>
          <w:lang w:val="pl-PL"/>
        </w:rPr>
        <w:t>[imię, nazwisko i stanowisko]</w:t>
      </w:r>
      <w:r w:rsidRPr="2031D444">
        <w:rPr>
          <w:sz w:val="24"/>
          <w:szCs w:val="24"/>
          <w:lang w:val="pl-PL"/>
        </w:rPr>
        <w:t xml:space="preserve"> </w:t>
      </w:r>
    </w:p>
    <w:p w14:paraId="5E3FCFF3" w14:textId="77777777" w:rsidR="00A840BB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AD6739" w:rsidRDefault="00A840BB" w:rsidP="00A840B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</w:p>
    <w:p w14:paraId="749C9F67" w14:textId="3F9C9101" w:rsidR="004F5366" w:rsidRPr="00AD6739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27471B6F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 xml:space="preserve">Pan/Pani </w:t>
      </w:r>
      <w:r w:rsidRPr="004F5366">
        <w:rPr>
          <w:sz w:val="24"/>
          <w:szCs w:val="24"/>
          <w:highlight w:val="lightGray"/>
          <w:lang w:val="pl-PL"/>
        </w:rPr>
        <w:t>[imię i nazwisko Uczestnika]</w:t>
      </w:r>
    </w:p>
    <w:p w14:paraId="779CE85C" w14:textId="78C2EEF0" w:rsidR="006B1B03" w:rsidRPr="00AD6739" w:rsidRDefault="006B1B03" w:rsidP="00A840BB">
      <w:pPr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 xml:space="preserve">Adres zamieszkania: </w:t>
      </w:r>
      <w:r w:rsidR="0A3DBBA7" w:rsidRPr="1019DF31">
        <w:rPr>
          <w:sz w:val="24"/>
          <w:szCs w:val="24"/>
          <w:highlight w:val="lightGray"/>
          <w:lang w:val="pl-PL"/>
        </w:rPr>
        <w:t>[pełny adres]</w:t>
      </w:r>
    </w:p>
    <w:p w14:paraId="7C12C92B" w14:textId="0630502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Data urodzenia: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10811882" w14:textId="1582B1C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Telefon: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4395F0E5" w14:textId="286F44A0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E-mail:</w:t>
      </w:r>
    </w:p>
    <w:p w14:paraId="2F4047AA" w14:textId="788851CA" w:rsidR="00A840BB" w:rsidRPr="00AD6739" w:rsidRDefault="00A840BB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„</w:t>
      </w:r>
      <w:r w:rsidRPr="2031D444">
        <w:rPr>
          <w:b/>
          <w:bCs/>
          <w:sz w:val="24"/>
          <w:szCs w:val="24"/>
          <w:lang w:val="pl-PL"/>
        </w:rPr>
        <w:t>Uczestnikiem</w:t>
      </w:r>
      <w:r w:rsidRPr="2031D444">
        <w:rPr>
          <w:sz w:val="24"/>
          <w:szCs w:val="24"/>
          <w:lang w:val="pl-PL"/>
        </w:rPr>
        <w:t>” z drugiej strony.</w:t>
      </w:r>
    </w:p>
    <w:p w14:paraId="721899DF" w14:textId="2A9D14CF" w:rsidR="0090521C" w:rsidRPr="00AD6739" w:rsidRDefault="0090521C" w:rsidP="00A840BB">
      <w:pPr>
        <w:rPr>
          <w:sz w:val="24"/>
          <w:szCs w:val="24"/>
          <w:lang w:val="pl-PL"/>
        </w:rPr>
      </w:pPr>
    </w:p>
    <w:p w14:paraId="4B8DD555" w14:textId="12F50430" w:rsidR="004F5366" w:rsidRPr="004F5366" w:rsidRDefault="3D8489D9" w:rsidP="00A840BB">
      <w:pPr>
        <w:jc w:val="both"/>
        <w:rPr>
          <w:color w:val="00B050"/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[Dotyczy wszystkich Uczestników, którzy otrzymują wsparcie finansowe z</w:t>
      </w:r>
      <w:r w:rsidR="373EAA4E" w:rsidRPr="2031D444">
        <w:rPr>
          <w:color w:val="00B050"/>
          <w:sz w:val="24"/>
          <w:szCs w:val="24"/>
          <w:lang w:val="pl-PL"/>
        </w:rPr>
        <w:t>e</w:t>
      </w:r>
      <w:r w:rsidRPr="2031D444">
        <w:rPr>
          <w:color w:val="00B050"/>
          <w:sz w:val="24"/>
          <w:szCs w:val="24"/>
          <w:lang w:val="pl-PL"/>
        </w:rPr>
        <w:t xml:space="preserve"> środków programu Erasmus+, </w:t>
      </w:r>
      <w:r w:rsidRPr="0090521C">
        <w:rPr>
          <w:color w:val="00B050"/>
          <w:sz w:val="24"/>
          <w:szCs w:val="24"/>
          <w:lang w:val="pl-PL"/>
        </w:rPr>
        <w:t>z wyjątkiem osób, które otrzymują stypendium zerowe</w:t>
      </w:r>
      <w:r w:rsidRPr="2031D444">
        <w:rPr>
          <w:color w:val="00B050"/>
          <w:sz w:val="24"/>
          <w:szCs w:val="24"/>
          <w:lang w:val="pl-PL"/>
        </w:rPr>
        <w:t>, jeśli dostępne jest europejskie konto bankowe]</w:t>
      </w:r>
    </w:p>
    <w:p w14:paraId="1B3DF8B2" w14:textId="4FA86BDE" w:rsidR="004F5366" w:rsidRPr="00AD6739" w:rsidRDefault="00AE773E" w:rsidP="00A840BB">
      <w:pPr>
        <w:rPr>
          <w:snapToGrid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B3EF0E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69010"/>
                <wp:effectExtent l="0" t="0" r="16510" b="2159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4F5366" w:rsidRDefault="004F5366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">
                <v:textbox>
                  <w:txbxContent>
                    <w:p w14:paraId="6D18BEB9" w14:textId="77777777" w:rsidR="004F5366" w:rsidRPr="004F5366" w:rsidRDefault="004F5366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AD6739" w:rsidRDefault="004F5366" w:rsidP="00A840BB">
      <w:pPr>
        <w:rPr>
          <w:snapToGrid/>
          <w:lang w:val="pl-PL"/>
        </w:rPr>
      </w:pPr>
    </w:p>
    <w:p w14:paraId="7C43D7F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Strony uzgodniły Warunki </w:t>
      </w:r>
      <w:r w:rsidR="00B9298F" w:rsidRPr="00B9298F">
        <w:rPr>
          <w:sz w:val="24"/>
          <w:szCs w:val="24"/>
          <w:lang w:val="pl-PL"/>
        </w:rPr>
        <w:t>ogólne</w:t>
      </w:r>
      <w:r w:rsidRPr="00B9298F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B9298F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Warunki ogólne</w:t>
      </w:r>
    </w:p>
    <w:p w14:paraId="7121D289" w14:textId="71AAD6DD" w:rsidR="004F5366" w:rsidRPr="00B9298F" w:rsidRDefault="004F5366" w:rsidP="00A840BB">
      <w:pPr>
        <w:tabs>
          <w:tab w:val="left" w:pos="1985"/>
        </w:tabs>
        <w:rPr>
          <w:sz w:val="24"/>
          <w:szCs w:val="24"/>
        </w:rPr>
      </w:pPr>
      <w:r w:rsidRPr="2E77DC53">
        <w:rPr>
          <w:sz w:val="24"/>
          <w:szCs w:val="24"/>
        </w:rPr>
        <w:t xml:space="preserve">Załącznik </w:t>
      </w:r>
      <w:r w:rsidR="00B9298F" w:rsidRPr="2E77DC53">
        <w:rPr>
          <w:sz w:val="24"/>
          <w:szCs w:val="24"/>
        </w:rPr>
        <w:t>1</w:t>
      </w:r>
      <w:r w:rsidRPr="2E77DC53">
        <w:rPr>
          <w:sz w:val="24"/>
          <w:szCs w:val="24"/>
        </w:rPr>
        <w:t xml:space="preserve"> </w:t>
      </w:r>
      <w:r>
        <w:tab/>
      </w:r>
      <w:r w:rsidR="00B9298F" w:rsidRPr="2E77DC53">
        <w:rPr>
          <w:sz w:val="24"/>
          <w:szCs w:val="24"/>
        </w:rPr>
        <w:t>[</w:t>
      </w:r>
      <w:r w:rsidRPr="2E77DC53">
        <w:rPr>
          <w:sz w:val="24"/>
          <w:szCs w:val="24"/>
        </w:rPr>
        <w:t>„Porozumienie o programie studiów w programie Erasmus+”</w:t>
      </w:r>
    </w:p>
    <w:p w14:paraId="3FEAAED5" w14:textId="27C6C53E" w:rsidR="004F5366" w:rsidRPr="00B9298F" w:rsidRDefault="004F5366" w:rsidP="00AF779E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programie praktyki w programie Erasmus+”</w:t>
      </w:r>
      <w:r w:rsidR="5302A378" w:rsidRPr="00B9298F">
        <w:rPr>
          <w:sz w:val="24"/>
          <w:szCs w:val="24"/>
          <w:lang w:val="pl-PL"/>
        </w:rPr>
        <w:t>]</w:t>
      </w:r>
      <w:r w:rsidR="00B9298F" w:rsidRPr="00463271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2941E81D" w14:textId="23C40F7C" w:rsidR="004F5366" w:rsidRPr="00AD6739" w:rsidRDefault="004F5366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lastRenderedPageBreak/>
        <w:t xml:space="preserve">Załącznik </w:t>
      </w:r>
      <w:r w:rsidR="00B9298F" w:rsidRPr="00B9298F">
        <w:rPr>
          <w:sz w:val="24"/>
          <w:szCs w:val="24"/>
          <w:lang w:val="pl-PL"/>
        </w:rPr>
        <w:t>2:</w:t>
      </w:r>
      <w:r w:rsidRPr="00B9298F">
        <w:rPr>
          <w:sz w:val="24"/>
          <w:szCs w:val="24"/>
          <w:lang w:val="pl-PL"/>
        </w:rPr>
        <w:tab/>
        <w:t>Karta Studenta Erasmusa</w:t>
      </w:r>
    </w:p>
    <w:p w14:paraId="607265FE" w14:textId="77777777" w:rsidR="004F5366" w:rsidRPr="00AD6739" w:rsidRDefault="004F5366" w:rsidP="00A840BB">
      <w:pPr>
        <w:rPr>
          <w:sz w:val="24"/>
          <w:szCs w:val="24"/>
          <w:lang w:val="pl-PL"/>
        </w:rPr>
      </w:pPr>
    </w:p>
    <w:p w14:paraId="7B94B443" w14:textId="74F82BAD" w:rsidR="006C61D0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Postanowienia zawarte w Warunkach </w:t>
      </w:r>
      <w:r w:rsidR="00B9298F" w:rsidRPr="00B9298F">
        <w:rPr>
          <w:sz w:val="24"/>
          <w:szCs w:val="24"/>
          <w:lang w:val="pl-PL"/>
        </w:rPr>
        <w:t>ogólnych</w:t>
      </w:r>
      <w:r w:rsidRPr="00B9298F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5C618274" w14:textId="7F7115F6" w:rsidR="00B9298F" w:rsidRPr="00B9298F" w:rsidRDefault="5302A378" w:rsidP="00A840BB">
      <w:pPr>
        <w:jc w:val="both"/>
        <w:rPr>
          <w:sz w:val="24"/>
          <w:szCs w:val="24"/>
        </w:rPr>
      </w:pPr>
      <w:r w:rsidRPr="2031D444">
        <w:rPr>
          <w:sz w:val="24"/>
          <w:szCs w:val="24"/>
        </w:rPr>
        <w:t>Całkowita kwota dofinansowania obejmuje [</w:t>
      </w:r>
      <w:r w:rsidR="0090521C">
        <w:rPr>
          <w:sz w:val="24"/>
          <w:szCs w:val="24"/>
        </w:rPr>
        <w:t>skasować opcje, które nie dotyczą</w:t>
      </w:r>
      <w:r w:rsidRPr="2031D444">
        <w:rPr>
          <w:sz w:val="24"/>
          <w:szCs w:val="24"/>
        </w:rPr>
        <w:t>]:</w:t>
      </w:r>
    </w:p>
    <w:p w14:paraId="23D681B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długoterminowej mobilności fizycznej</w:t>
      </w:r>
    </w:p>
    <w:p w14:paraId="773C3B8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5CC56EC8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długoterminowe</w:t>
      </w:r>
    </w:p>
    <w:p w14:paraId="1D37D17D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3D59F66A" w14:textId="4CC67400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2031D444">
        <w:rPr>
          <w:sz w:val="24"/>
          <w:szCs w:val="24"/>
          <w:lang w:val="pl-PL"/>
        </w:rPr>
        <w:t xml:space="preserve"> Wsparcie na koszty podróży (podróż </w:t>
      </w:r>
      <w:r w:rsidR="4647670F" w:rsidRPr="2031D444">
        <w:rPr>
          <w:sz w:val="24"/>
          <w:szCs w:val="24"/>
          <w:lang w:val="pl-PL"/>
        </w:rPr>
        <w:t>przy wykorzystaniu lub bez wykorzystania ekologicznych/zrównoważonych środków transportu</w:t>
      </w:r>
      <w:r w:rsidRPr="2031D444">
        <w:rPr>
          <w:sz w:val="24"/>
          <w:szCs w:val="24"/>
          <w:lang w:val="pl-PL"/>
        </w:rPr>
        <w:t>)</w:t>
      </w:r>
    </w:p>
    <w:p w14:paraId="3F4F1720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10A20843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wysokich kosztów podróży (w oparciu o koszty rzeczywiste) </w:t>
      </w:r>
    </w:p>
    <w:p w14:paraId="50F72874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Uczestnik otrzymuje </w:t>
      </w:r>
      <w:r w:rsidRPr="00B9298F">
        <w:rPr>
          <w:sz w:val="24"/>
          <w:szCs w:val="24"/>
          <w:highlight w:val="yellow"/>
          <w:lang w:val="pl-PL"/>
        </w:rPr>
        <w:t>[wybrać jedną odpowiedź]</w:t>
      </w:r>
      <w:r w:rsidRPr="00B9298F">
        <w:rPr>
          <w:sz w:val="24"/>
          <w:szCs w:val="24"/>
          <w:lang w:val="pl-PL"/>
        </w:rPr>
        <w:t>:</w:t>
      </w:r>
    </w:p>
    <w:p w14:paraId="6941786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wsparcie finansowe z funduszy UE w ramach programu Erasmus+</w:t>
      </w:r>
    </w:p>
    <w:p w14:paraId="0FB5A44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stypendium zerowe</w:t>
      </w:r>
    </w:p>
    <w:p w14:paraId="466CC203" w14:textId="3323BA20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☐ częściowe wsparcie finansowe z funduszy UE w ramach programu Erasmus+ </w:t>
      </w:r>
      <w:r w:rsidR="00573683">
        <w:rPr>
          <w:sz w:val="24"/>
          <w:szCs w:val="24"/>
          <w:lang w:val="pl-PL"/>
        </w:rPr>
        <w:t xml:space="preserve"> na </w:t>
      </w:r>
      <w:r w:rsidR="00926B95">
        <w:rPr>
          <w:sz w:val="24"/>
          <w:szCs w:val="24"/>
          <w:lang w:val="pl-PL"/>
        </w:rPr>
        <w:t xml:space="preserve">fizyczną </w:t>
      </w:r>
      <w:r w:rsidR="00573683">
        <w:rPr>
          <w:sz w:val="24"/>
          <w:szCs w:val="24"/>
          <w:lang w:val="pl-PL"/>
        </w:rPr>
        <w:t>cz</w:t>
      </w:r>
      <w:r w:rsidR="00926B95">
        <w:rPr>
          <w:sz w:val="24"/>
          <w:szCs w:val="24"/>
          <w:lang w:val="pl-PL"/>
        </w:rPr>
        <w:t>ę</w:t>
      </w:r>
      <w:r w:rsidR="00573683">
        <w:rPr>
          <w:sz w:val="24"/>
          <w:szCs w:val="24"/>
          <w:lang w:val="pl-PL"/>
        </w:rPr>
        <w:t xml:space="preserve">ść mobilności </w:t>
      </w:r>
    </w:p>
    <w:p w14:paraId="0BC61123" w14:textId="5336295B" w:rsidR="0090661F" w:rsidRPr="007B42C7" w:rsidRDefault="0090661F" w:rsidP="0090661F">
      <w:pPr>
        <w:spacing w:after="120"/>
        <w:rPr>
          <w:snapToGrid/>
          <w:sz w:val="24"/>
          <w:szCs w:val="24"/>
          <w:lang w:val="pl-PL"/>
        </w:rPr>
      </w:pPr>
      <w:r w:rsidRPr="00DE54FD">
        <w:rPr>
          <w:sz w:val="24"/>
          <w:szCs w:val="24"/>
          <w:lang w:val="pl-PL"/>
        </w:rPr>
        <w:br/>
        <w:t xml:space="preserve">na realizację wyjazdu na studia/praktyki w </w:t>
      </w:r>
      <w:r w:rsidRPr="00DE54FD">
        <w:rPr>
          <w:bCs/>
          <w:sz w:val="24"/>
          <w:szCs w:val="24"/>
          <w:lang w:val="pl-PL"/>
        </w:rPr>
        <w:t>……………………….</w:t>
      </w:r>
      <w:r w:rsidRPr="00DE54FD">
        <w:rPr>
          <w:sz w:val="24"/>
          <w:szCs w:val="24"/>
          <w:lang w:val="pl-PL"/>
        </w:rPr>
        <w:t xml:space="preserve"> w terminie od  ……. do ……….</w:t>
      </w:r>
      <w:r w:rsidRPr="007B42C7">
        <w:rPr>
          <w:sz w:val="24"/>
          <w:szCs w:val="24"/>
          <w:lang w:val="pl-PL"/>
        </w:rPr>
        <w:t xml:space="preserve"> </w:t>
      </w:r>
    </w:p>
    <w:p w14:paraId="171AAA28" w14:textId="77777777" w:rsidR="006C61D0" w:rsidRPr="00AD6739" w:rsidRDefault="006C61D0" w:rsidP="00A840BB">
      <w:pPr>
        <w:jc w:val="both"/>
        <w:rPr>
          <w:sz w:val="24"/>
          <w:szCs w:val="24"/>
          <w:highlight w:val="cyan"/>
          <w:lang w:val="pl-PL"/>
        </w:rPr>
      </w:pPr>
    </w:p>
    <w:p w14:paraId="1F601E8D" w14:textId="7BCAC3F6" w:rsidR="004F5366" w:rsidRPr="00DC3301" w:rsidRDefault="004F5366" w:rsidP="00A840BB">
      <w:pPr>
        <w:jc w:val="both"/>
        <w:rPr>
          <w:color w:val="FF0000"/>
          <w:highlight w:val="cyan"/>
          <w:lang w:val="pl-PL"/>
        </w:rPr>
      </w:pPr>
      <w:r w:rsidRPr="006C61D0">
        <w:rPr>
          <w:color w:val="FF0000"/>
          <w:highlight w:val="cyan"/>
          <w:lang w:val="pl-PL"/>
        </w:rPr>
        <w:br w:type="page"/>
      </w:r>
    </w:p>
    <w:p w14:paraId="57D0589C" w14:textId="77777777" w:rsidR="001E60A5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BB7F93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F210BE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B9298F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7D290DA4" w14:textId="77777777" w:rsidR="00EF454D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>Niniejsza Umowa określa prawa i obowiązki oraz warunki mające zastosowanie do wsparcia finansowego przyznawanego na realizację działań w zakresie mobilności w ramach programu Erasmus+.</w:t>
      </w:r>
      <w:r>
        <w:rPr>
          <w:sz w:val="24"/>
          <w:szCs w:val="24"/>
          <w:lang w:val="pl-PL"/>
        </w:rPr>
        <w:t xml:space="preserve"> </w:t>
      </w:r>
    </w:p>
    <w:p w14:paraId="08B1DE6C" w14:textId="77777777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0DDAA217" w:rsidR="00B9298F" w:rsidRPr="00DE54F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</w:t>
      </w:r>
      <w:r w:rsidR="00A840BB">
        <w:rPr>
          <w:sz w:val="24"/>
          <w:szCs w:val="24"/>
          <w:lang w:val="pl-PL"/>
        </w:rPr>
        <w:t xml:space="preserve">zostaną </w:t>
      </w:r>
      <w:r w:rsidRPr="00EF454D">
        <w:rPr>
          <w:sz w:val="24"/>
          <w:szCs w:val="24"/>
          <w:lang w:val="pl-PL"/>
        </w:rPr>
        <w:t xml:space="preserve">sporządzane w formie </w:t>
      </w:r>
      <w:r w:rsidRPr="00DE54FD">
        <w:rPr>
          <w:sz w:val="24"/>
          <w:szCs w:val="24"/>
          <w:lang w:val="pl-PL"/>
        </w:rPr>
        <w:t>pisemnego lub elektronicznego aneksu do Umowy, przesyłanego odpowiednio poczt</w:t>
      </w:r>
      <w:r w:rsidR="00A840BB" w:rsidRPr="00DE54FD">
        <w:rPr>
          <w:sz w:val="24"/>
          <w:szCs w:val="24"/>
          <w:lang w:val="pl-PL"/>
        </w:rPr>
        <w:t>ą</w:t>
      </w:r>
      <w:r w:rsidRPr="00DE54FD">
        <w:rPr>
          <w:sz w:val="24"/>
          <w:szCs w:val="24"/>
          <w:lang w:val="pl-PL"/>
        </w:rPr>
        <w:t xml:space="preserve"> tradycyjn</w:t>
      </w:r>
      <w:r w:rsidR="00A840BB" w:rsidRPr="00DE54FD">
        <w:rPr>
          <w:sz w:val="24"/>
          <w:szCs w:val="24"/>
          <w:lang w:val="pl-PL"/>
        </w:rPr>
        <w:t>ą</w:t>
      </w:r>
      <w:r w:rsidRPr="00DE54FD">
        <w:rPr>
          <w:sz w:val="24"/>
          <w:szCs w:val="24"/>
          <w:lang w:val="pl-PL"/>
        </w:rPr>
        <w:t xml:space="preserve"> lub drogową e-mailową.  </w:t>
      </w:r>
    </w:p>
    <w:p w14:paraId="7DA8E199" w14:textId="1E4CCC50" w:rsidR="00A826BE" w:rsidRPr="00DE54FD" w:rsidRDefault="00A826BE" w:rsidP="00A826BE">
      <w:pPr>
        <w:pStyle w:val="Akapitzlist"/>
        <w:numPr>
          <w:ilvl w:val="1"/>
          <w:numId w:val="17"/>
        </w:numPr>
        <w:snapToGrid w:val="0"/>
        <w:spacing w:before="120"/>
        <w:jc w:val="both"/>
        <w:rPr>
          <w:sz w:val="24"/>
          <w:szCs w:val="24"/>
          <w:lang w:val="pl-PL"/>
        </w:rPr>
      </w:pPr>
      <w:r w:rsidRPr="00DE54FD">
        <w:rPr>
          <w:sz w:val="24"/>
          <w:szCs w:val="24"/>
          <w:lang w:val="pl-PL"/>
        </w:rPr>
        <w:t>Uczestnik niniejszym oświadcza, że zapoznał się i akceptuje warunki i postanowienia wyszczególnione w niniejszej umowie. Uczestnik oświadcza, że zapoznał się i akceptuje warunki i postanowienia uczelnianych zasad Programu Erasmus+ (umowa 2024).</w:t>
      </w:r>
    </w:p>
    <w:p w14:paraId="1788FEEF" w14:textId="77777777" w:rsidR="00A826BE" w:rsidRPr="00A826BE" w:rsidRDefault="00A826BE" w:rsidP="00A826BE">
      <w:pPr>
        <w:snapToGrid w:val="0"/>
        <w:jc w:val="both"/>
        <w:rPr>
          <w:sz w:val="24"/>
          <w:szCs w:val="24"/>
          <w:lang w:val="pl-PL"/>
        </w:rPr>
      </w:pPr>
    </w:p>
    <w:p w14:paraId="1BCE3279" w14:textId="1B43006C" w:rsidR="00522CD5" w:rsidRPr="0074440F" w:rsidRDefault="00522CD5" w:rsidP="00A840BB">
      <w:pPr>
        <w:rPr>
          <w:lang w:val="pl-PL"/>
        </w:rPr>
      </w:pPr>
    </w:p>
    <w:p w14:paraId="26E348B2" w14:textId="77777777" w:rsidR="00EF454D" w:rsidRPr="00F62658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 OKRES OBOWIĄZYWANIA UMOWY, CZAS TRWANIA MOBILNOŚCI</w:t>
      </w:r>
    </w:p>
    <w:p w14:paraId="7868A1D6" w14:textId="271A6D8E" w:rsidR="00EF454D" w:rsidRPr="00F62658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DE54FD">
        <w:rPr>
          <w:sz w:val="24"/>
          <w:szCs w:val="24"/>
          <w:lang w:val="pl-PL"/>
        </w:rPr>
        <w:t>2.1</w:t>
      </w:r>
      <w:r w:rsidRPr="00DE54FD">
        <w:rPr>
          <w:sz w:val="24"/>
          <w:szCs w:val="24"/>
          <w:lang w:val="pl-PL"/>
        </w:rPr>
        <w:tab/>
        <w:t xml:space="preserve">Umowa </w:t>
      </w:r>
      <w:r w:rsidR="00A840BB" w:rsidRPr="00DE54FD">
        <w:rPr>
          <w:sz w:val="24"/>
          <w:szCs w:val="24"/>
          <w:lang w:val="pl-PL"/>
        </w:rPr>
        <w:t xml:space="preserve">wchodzi </w:t>
      </w:r>
      <w:r w:rsidRPr="00DE54FD">
        <w:rPr>
          <w:sz w:val="24"/>
          <w:szCs w:val="24"/>
          <w:lang w:val="pl-PL"/>
        </w:rPr>
        <w:t>w życie z dniem jej podpisania przez ostatnią ze stron.</w:t>
      </w:r>
      <w:r w:rsidR="00A826BE" w:rsidRPr="00DE54FD">
        <w:rPr>
          <w:sz w:val="24"/>
          <w:szCs w:val="24"/>
          <w:lang w:val="pl-PL"/>
        </w:rPr>
        <w:t xml:space="preserve"> Niniejszą umowę sporządzono w dwóch jednobrzmiących egzemplarzach, po jednym dla każdej ze stron.</w:t>
      </w:r>
    </w:p>
    <w:p w14:paraId="12C313E2" w14:textId="35726395" w:rsidR="00632594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2.2</w:t>
      </w:r>
      <w:r w:rsidRPr="00632594">
        <w:rPr>
          <w:sz w:val="24"/>
          <w:szCs w:val="24"/>
          <w:lang w:val="pl-PL"/>
        </w:rPr>
        <w:tab/>
      </w:r>
      <w:r w:rsidR="00632594">
        <w:rPr>
          <w:sz w:val="24"/>
          <w:szCs w:val="24"/>
          <w:lang w:val="pl-PL"/>
        </w:rPr>
        <w:t>Okres mobilności rozpocz</w:t>
      </w:r>
      <w:r w:rsidR="00A840BB">
        <w:rPr>
          <w:sz w:val="24"/>
          <w:szCs w:val="24"/>
          <w:lang w:val="pl-PL"/>
        </w:rPr>
        <w:t xml:space="preserve">yna się </w:t>
      </w:r>
      <w:r w:rsidR="00632594">
        <w:rPr>
          <w:sz w:val="24"/>
          <w:szCs w:val="24"/>
          <w:lang w:val="pl-PL"/>
        </w:rPr>
        <w:t>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>] i kończy się 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 xml:space="preserve">]. </w:t>
      </w:r>
    </w:p>
    <w:p w14:paraId="3D0D3F13" w14:textId="74662898" w:rsidR="00632594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2.3    Okres objęty </w:t>
      </w:r>
      <w:r w:rsidR="004462B2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mową obejmuje:</w:t>
      </w:r>
    </w:p>
    <w:p w14:paraId="0082A030" w14:textId="1772CC56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okres fizycznej mobilności od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do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równy [</w:t>
      </w:r>
      <w:r w:rsidRPr="00632594">
        <w:rPr>
          <w:sz w:val="24"/>
          <w:szCs w:val="24"/>
          <w:highlight w:val="lightGray"/>
          <w:lang w:val="pl-PL"/>
        </w:rPr>
        <w:t>liczba dni mobilności</w:t>
      </w:r>
      <w:r w:rsidRPr="00632594">
        <w:rPr>
          <w:sz w:val="24"/>
          <w:szCs w:val="24"/>
          <w:lang w:val="pl-PL"/>
        </w:rPr>
        <w:t xml:space="preserve">] </w:t>
      </w:r>
    </w:p>
    <w:p w14:paraId="70C1C22E" w14:textId="1BE68467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color w:val="00B050"/>
          <w:sz w:val="24"/>
          <w:szCs w:val="24"/>
          <w:lang w:val="pl-PL"/>
        </w:rPr>
        <w:t xml:space="preserve">[Opcja </w:t>
      </w:r>
      <w:r>
        <w:rPr>
          <w:sz w:val="24"/>
          <w:szCs w:val="24"/>
          <w:lang w:val="pl-PL"/>
        </w:rPr>
        <w:t>[</w:t>
      </w:r>
      <w:r w:rsidRPr="00632594">
        <w:rPr>
          <w:sz w:val="24"/>
          <w:szCs w:val="24"/>
          <w:highlight w:val="lightGray"/>
          <w:lang w:val="pl-PL"/>
        </w:rPr>
        <w:t>...</w:t>
      </w:r>
      <w:r>
        <w:rPr>
          <w:sz w:val="24"/>
          <w:szCs w:val="24"/>
          <w:lang w:val="pl-PL"/>
        </w:rPr>
        <w:t>] finansowane dni podróży</w:t>
      </w:r>
      <w:r w:rsidRPr="00632594">
        <w:rPr>
          <w:color w:val="00B050"/>
          <w:sz w:val="24"/>
          <w:szCs w:val="24"/>
          <w:lang w:val="pl-PL"/>
        </w:rPr>
        <w:t>]</w:t>
      </w:r>
    </w:p>
    <w:p w14:paraId="434DE8A7" w14:textId="0E304097" w:rsidR="001B6040" w:rsidRPr="001B6040" w:rsidRDefault="6DBCDDC6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[Opcja dla</w:t>
      </w:r>
      <w:r w:rsidR="00573683">
        <w:rPr>
          <w:color w:val="00B050"/>
          <w:sz w:val="24"/>
          <w:szCs w:val="24"/>
          <w:lang w:val="pl-PL"/>
        </w:rPr>
        <w:t xml:space="preserve"> mobilności mieszanej</w:t>
      </w:r>
      <w:r w:rsidRPr="2031D444">
        <w:rPr>
          <w:color w:val="00B050"/>
          <w:sz w:val="24"/>
          <w:szCs w:val="24"/>
          <w:lang w:val="pl-PL"/>
        </w:rPr>
        <w:t xml:space="preserve">: </w:t>
      </w:r>
      <w:r w:rsidRPr="2031D444">
        <w:rPr>
          <w:sz w:val="24"/>
          <w:szCs w:val="24"/>
          <w:lang w:val="pl-PL"/>
        </w:rPr>
        <w:t>komponent wirtualny od [</w:t>
      </w:r>
      <w:r w:rsidRPr="2031D444">
        <w:rPr>
          <w:sz w:val="24"/>
          <w:szCs w:val="24"/>
          <w:highlight w:val="lightGray"/>
          <w:lang w:val="pl-PL"/>
        </w:rPr>
        <w:t>data</w:t>
      </w:r>
      <w:r w:rsidRPr="2031D444">
        <w:rPr>
          <w:sz w:val="24"/>
          <w:szCs w:val="24"/>
          <w:lang w:val="pl-PL"/>
        </w:rPr>
        <w:t>] do [</w:t>
      </w:r>
      <w:r w:rsidRPr="2031D444">
        <w:rPr>
          <w:sz w:val="24"/>
          <w:szCs w:val="24"/>
          <w:highlight w:val="lightGray"/>
          <w:lang w:val="pl-PL"/>
        </w:rPr>
        <w:t>data</w:t>
      </w:r>
      <w:r w:rsidRPr="2031D444">
        <w:rPr>
          <w:sz w:val="24"/>
          <w:szCs w:val="24"/>
          <w:lang w:val="pl-PL"/>
        </w:rPr>
        <w:t>]</w:t>
      </w:r>
      <w:r w:rsidRPr="2031D444">
        <w:rPr>
          <w:color w:val="00B050"/>
          <w:sz w:val="24"/>
          <w:szCs w:val="24"/>
          <w:lang w:val="pl-PL"/>
        </w:rPr>
        <w:t>]</w:t>
      </w:r>
    </w:p>
    <w:p w14:paraId="77BA7573" w14:textId="6C2A9BF9" w:rsidR="001B6040" w:rsidRPr="001B6040" w:rsidRDefault="001B6040" w:rsidP="00A840BB">
      <w:pPr>
        <w:ind w:left="567" w:hanging="567"/>
        <w:jc w:val="both"/>
        <w:rPr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 xml:space="preserve">2.4  Rzeczywiste daty rozpoczęcia i zakończenia okresu mobilności, w tym komponentu wirtualnego, muszą być określone w </w:t>
      </w:r>
      <w:r w:rsidRPr="001B6040">
        <w:rPr>
          <w:sz w:val="24"/>
          <w:szCs w:val="24"/>
          <w:highlight w:val="yellow"/>
          <w:lang w:val="pl-PL"/>
        </w:rPr>
        <w:t>[wybrać właściwe:</w:t>
      </w:r>
      <w:r w:rsidRPr="001B6040">
        <w:rPr>
          <w:sz w:val="24"/>
          <w:szCs w:val="24"/>
          <w:lang w:val="pl-PL"/>
        </w:rPr>
        <w:t xml:space="preserve"> </w:t>
      </w:r>
      <w:r w:rsidRPr="001B6040">
        <w:rPr>
          <w:sz w:val="24"/>
          <w:szCs w:val="24"/>
          <w:highlight w:val="lightGray"/>
          <w:lang w:val="pl-PL"/>
        </w:rPr>
        <w:t>„Wykazie osiągnięć (zaliczeń)”/„Zaświadczeniu o odbyciu praktyki”/”Zaświadczeniu o pobycie” (lub oświadczeniu dołączonym do tych dokumentów)]</w:t>
      </w:r>
      <w:r>
        <w:rPr>
          <w:sz w:val="24"/>
          <w:szCs w:val="24"/>
          <w:lang w:val="pl-PL"/>
        </w:rPr>
        <w:t>.</w:t>
      </w:r>
    </w:p>
    <w:p w14:paraId="2DE13360" w14:textId="77777777" w:rsidR="00EF454D" w:rsidRPr="0074440F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val="pl-PL" w:eastAsia="en-US"/>
        </w:rPr>
      </w:pPr>
    </w:p>
    <w:p w14:paraId="40D13F42" w14:textId="77777777" w:rsidR="0036151E" w:rsidRPr="00CE22AF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</w:p>
    <w:p w14:paraId="36749833" w14:textId="455B7DF1" w:rsidR="0036151E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>3.1</w:t>
      </w:r>
      <w:r>
        <w:tab/>
      </w:r>
      <w:r w:rsidRPr="1019DF31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>
        <w:rPr>
          <w:sz w:val="24"/>
          <w:szCs w:val="24"/>
          <w:lang w:val="pl-PL"/>
        </w:rPr>
        <w:t>„</w:t>
      </w:r>
      <w:r w:rsidRPr="1019DF31">
        <w:rPr>
          <w:sz w:val="24"/>
          <w:szCs w:val="24"/>
          <w:lang w:val="pl-PL"/>
        </w:rPr>
        <w:t>Przewodniku po programie Erasmus+</w:t>
      </w:r>
      <w:r w:rsidR="00A840BB">
        <w:rPr>
          <w:sz w:val="24"/>
          <w:szCs w:val="24"/>
          <w:lang w:val="pl-PL"/>
        </w:rPr>
        <w:t>”</w:t>
      </w:r>
      <w:r w:rsidRPr="1019DF31">
        <w:rPr>
          <w:sz w:val="24"/>
          <w:szCs w:val="24"/>
          <w:lang w:val="pl-PL"/>
        </w:rPr>
        <w:t xml:space="preserve"> [</w:t>
      </w:r>
      <w:r w:rsidRPr="00AE773E">
        <w:rPr>
          <w:sz w:val="24"/>
          <w:szCs w:val="24"/>
          <w:lang w:val="pl-PL"/>
        </w:rPr>
        <w:t>wersja 202</w:t>
      </w:r>
      <w:r w:rsidR="4D5B411B" w:rsidRPr="00AE773E">
        <w:rPr>
          <w:sz w:val="24"/>
          <w:szCs w:val="24"/>
          <w:lang w:val="pl-PL"/>
        </w:rPr>
        <w:t>4</w:t>
      </w:r>
      <w:r w:rsidRPr="1019DF31">
        <w:rPr>
          <w:sz w:val="24"/>
          <w:szCs w:val="24"/>
          <w:lang w:val="pl-PL"/>
        </w:rPr>
        <w:t>].</w:t>
      </w:r>
    </w:p>
    <w:p w14:paraId="31FFB279" w14:textId="05401BE6" w:rsidR="0036151E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3.2   Uczestnik otrzyma wsparcie finansowe z funduszy unijnego programu Erasmus+ na </w:t>
      </w:r>
      <w:r w:rsidRPr="2031D444">
        <w:rPr>
          <w:sz w:val="24"/>
          <w:szCs w:val="24"/>
          <w:highlight w:val="lightGray"/>
          <w:lang w:val="pl-PL"/>
        </w:rPr>
        <w:t>[…]</w:t>
      </w:r>
      <w:r w:rsidRPr="2031D444">
        <w:rPr>
          <w:sz w:val="24"/>
          <w:szCs w:val="24"/>
          <w:lang w:val="pl-PL"/>
        </w:rPr>
        <w:t xml:space="preserve"> </w:t>
      </w:r>
      <w:r w:rsidR="0081292B">
        <w:rPr>
          <w:sz w:val="24"/>
          <w:szCs w:val="24"/>
          <w:lang w:val="pl-PL"/>
        </w:rPr>
        <w:t xml:space="preserve">dni </w:t>
      </w:r>
      <w:r w:rsidRPr="2031D444">
        <w:rPr>
          <w:sz w:val="24"/>
          <w:szCs w:val="24"/>
          <w:highlight w:val="yellow"/>
          <w:lang w:val="pl-PL"/>
        </w:rPr>
        <w:t xml:space="preserve">[liczba dni mobilności będzie równa okresowi trwania fizycznej mobilności z uwzględnieniem dni podróży. Jeżeli Uczestnik </w:t>
      </w:r>
      <w:r w:rsidR="0081292B">
        <w:rPr>
          <w:sz w:val="24"/>
          <w:szCs w:val="24"/>
          <w:highlight w:val="yellow"/>
          <w:lang w:val="pl-PL"/>
        </w:rPr>
        <w:t xml:space="preserve">w ogóle </w:t>
      </w:r>
      <w:r w:rsidRPr="2031D444">
        <w:rPr>
          <w:sz w:val="24"/>
          <w:szCs w:val="24"/>
          <w:highlight w:val="yellow"/>
          <w:lang w:val="pl-PL"/>
        </w:rPr>
        <w:t>nie otrzymuje wsparcia indywidualnego lub otrzymuje częściowe wsparcie, liczba dni jest odpowiednio dostosowana]</w:t>
      </w:r>
      <w:r w:rsidRPr="2031D444">
        <w:rPr>
          <w:sz w:val="24"/>
          <w:szCs w:val="24"/>
          <w:lang w:val="pl-PL"/>
        </w:rPr>
        <w:t>.</w:t>
      </w:r>
    </w:p>
    <w:p w14:paraId="414714A0" w14:textId="4959458A" w:rsidR="00A826BE" w:rsidRDefault="56DA2867" w:rsidP="00A826BE">
      <w:pPr>
        <w:spacing w:before="120"/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3.3   Uczestnik może złożyć wniosek dotyczący przedłużenia okresu mobilności fizycznej w ramach limitu określonego w </w:t>
      </w:r>
      <w:r w:rsidR="00B63565">
        <w:rPr>
          <w:sz w:val="24"/>
          <w:szCs w:val="24"/>
          <w:lang w:val="pl-PL"/>
        </w:rPr>
        <w:t>„P</w:t>
      </w:r>
      <w:r w:rsidRPr="2031D444">
        <w:rPr>
          <w:sz w:val="24"/>
          <w:szCs w:val="24"/>
          <w:lang w:val="pl-PL"/>
        </w:rPr>
        <w:t>rzewodniku po programie Erasmus+</w:t>
      </w:r>
      <w:r w:rsidR="00B63565">
        <w:rPr>
          <w:sz w:val="24"/>
          <w:szCs w:val="24"/>
          <w:lang w:val="pl-PL"/>
        </w:rPr>
        <w:t xml:space="preserve">” </w:t>
      </w:r>
      <w:r w:rsidR="0081292B">
        <w:rPr>
          <w:sz w:val="24"/>
          <w:szCs w:val="24"/>
          <w:lang w:val="pl-PL"/>
        </w:rPr>
        <w:t xml:space="preserve">wynoszącego </w:t>
      </w:r>
      <w:r w:rsidR="00A826BE">
        <w:rPr>
          <w:sz w:val="24"/>
          <w:szCs w:val="24"/>
          <w:lang w:val="pl-PL"/>
        </w:rPr>
        <w:t>365</w:t>
      </w:r>
      <w:r w:rsidR="250DA869" w:rsidRPr="2031D444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lang w:val="pl-PL"/>
        </w:rPr>
        <w:t>dni</w:t>
      </w:r>
      <w:r w:rsidR="00A826BE">
        <w:rPr>
          <w:sz w:val="24"/>
          <w:szCs w:val="24"/>
          <w:lang w:val="pl-PL"/>
        </w:rPr>
        <w:t xml:space="preserve"> (1 i 2 stopień)/730 dni (studia jednolite)</w:t>
      </w:r>
      <w:r w:rsidRPr="2031D444">
        <w:rPr>
          <w:sz w:val="24"/>
          <w:szCs w:val="24"/>
          <w:lang w:val="pl-PL"/>
        </w:rPr>
        <w:t xml:space="preserve"> [</w:t>
      </w:r>
      <w:r w:rsidRPr="2031D444">
        <w:rPr>
          <w:sz w:val="24"/>
          <w:szCs w:val="24"/>
          <w:highlight w:val="yellow"/>
          <w:lang w:val="pl-PL"/>
        </w:rPr>
        <w:t xml:space="preserve">do wypełnienia przez </w:t>
      </w:r>
      <w:r w:rsidR="0081292B">
        <w:rPr>
          <w:sz w:val="24"/>
          <w:szCs w:val="24"/>
          <w:highlight w:val="yellow"/>
          <w:lang w:val="pl-PL"/>
        </w:rPr>
        <w:t>Instytucję</w:t>
      </w:r>
      <w:r w:rsidR="0081292B" w:rsidRPr="2031D444">
        <w:rPr>
          <w:sz w:val="24"/>
          <w:szCs w:val="24"/>
          <w:highlight w:val="yellow"/>
          <w:lang w:val="pl-PL"/>
        </w:rPr>
        <w:t xml:space="preserve"> </w:t>
      </w:r>
      <w:r w:rsidRPr="2031D444">
        <w:rPr>
          <w:sz w:val="24"/>
          <w:szCs w:val="24"/>
          <w:highlight w:val="yellow"/>
          <w:lang w:val="pl-PL"/>
        </w:rPr>
        <w:t>zgodnie z zasadami przewodnika po programie Erasmus+</w:t>
      </w:r>
      <w:r w:rsidRPr="2031D444">
        <w:rPr>
          <w:sz w:val="24"/>
          <w:szCs w:val="24"/>
          <w:lang w:val="pl-PL"/>
        </w:rPr>
        <w:t xml:space="preserve">]. Jeżeli </w:t>
      </w:r>
      <w:r w:rsidR="250DA869" w:rsidRPr="2031D444">
        <w:rPr>
          <w:sz w:val="24"/>
          <w:szCs w:val="24"/>
          <w:lang w:val="pl-PL"/>
        </w:rPr>
        <w:t>I</w:t>
      </w:r>
      <w:r w:rsidRPr="2031D444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mowa będzie aneksowana w odpowiednim zakresie.</w:t>
      </w:r>
      <w:r w:rsidR="00A826BE">
        <w:rPr>
          <w:sz w:val="24"/>
          <w:szCs w:val="24"/>
          <w:lang w:val="pl-PL"/>
        </w:rPr>
        <w:t xml:space="preserve"> </w:t>
      </w:r>
      <w:r w:rsidR="00A826BE" w:rsidRPr="00DE54FD">
        <w:rPr>
          <w:sz w:val="24"/>
          <w:szCs w:val="24"/>
          <w:lang w:val="pl-PL"/>
        </w:rPr>
        <w:t xml:space="preserve">Niemniej Instytucja zastrzega sobie prawo do decyzji o braku możliwości przedłużenia pobytów lub o wyznaczeniu innych terminów wnioskowania o przedłużenie okresu mobilności, aby możliwie jak najlepiej wykorzystać przyznane w programie dofinansowanie. Szczegółowe zapisy odnośnie możliwości i procedury przedłużania pobytów są dostępne w Zasadach realizacji długoterminowych wyjazdów na studia w zakresie mobilności fizycznej do państw członkowskich UE i państw trzecich </w:t>
      </w:r>
      <w:r w:rsidR="00A826BE" w:rsidRPr="00DE54FD">
        <w:rPr>
          <w:sz w:val="24"/>
          <w:szCs w:val="24"/>
          <w:lang w:val="pl-PL"/>
        </w:rPr>
        <w:lastRenderedPageBreak/>
        <w:t xml:space="preserve">stowarzyszonych z Programem – program Erasmus+ (umowa 2024). /  Niemniej Instytucja zastrzega sobie prawo do decyzji o przedłużaniu pobytów jedynie w ramach jednego roku akademickiego. Szczegółowe zapisy odnośnie możliwości i procedury przedłużania pobytów są dostępne w Zasadach rekrutacji i realizacji - długoterminowe wyjazdy na </w:t>
      </w:r>
      <w:r w:rsidR="00700EE6" w:rsidRPr="00DE54FD">
        <w:rPr>
          <w:sz w:val="24"/>
          <w:szCs w:val="24"/>
          <w:lang w:val="pl-PL"/>
        </w:rPr>
        <w:t>praktyki</w:t>
      </w:r>
      <w:r w:rsidR="00A826BE" w:rsidRPr="00DE54FD">
        <w:rPr>
          <w:sz w:val="24"/>
          <w:szCs w:val="24"/>
          <w:lang w:val="pl-PL"/>
        </w:rPr>
        <w:t xml:space="preserve"> w zakresie mobilności fizycznej </w:t>
      </w:r>
      <w:r w:rsidR="00700EE6" w:rsidRPr="00DE54FD">
        <w:rPr>
          <w:sz w:val="24"/>
          <w:szCs w:val="24"/>
          <w:lang w:val="pl-PL"/>
        </w:rPr>
        <w:t xml:space="preserve">i mieszanej </w:t>
      </w:r>
      <w:r w:rsidR="00A826BE" w:rsidRPr="00DE54FD">
        <w:rPr>
          <w:sz w:val="24"/>
          <w:szCs w:val="24"/>
          <w:lang w:val="pl-PL"/>
        </w:rPr>
        <w:t>do państw członkowskich UE</w:t>
      </w:r>
      <w:r w:rsidR="00700EE6" w:rsidRPr="00DE54FD">
        <w:rPr>
          <w:sz w:val="24"/>
          <w:szCs w:val="24"/>
          <w:lang w:val="pl-PL"/>
        </w:rPr>
        <w:t xml:space="preserve">, </w:t>
      </w:r>
      <w:r w:rsidR="00A826BE" w:rsidRPr="00DE54FD">
        <w:rPr>
          <w:sz w:val="24"/>
          <w:szCs w:val="24"/>
          <w:lang w:val="pl-PL"/>
        </w:rPr>
        <w:t>państw trzecich stowarzyszonych z Programem</w:t>
      </w:r>
      <w:r w:rsidR="00700EE6" w:rsidRPr="00DE54FD">
        <w:rPr>
          <w:sz w:val="24"/>
          <w:szCs w:val="24"/>
          <w:lang w:val="pl-PL"/>
        </w:rPr>
        <w:t xml:space="preserve"> i państw trzecich niestowarzyszonych z Programem</w:t>
      </w:r>
      <w:r w:rsidR="00A826BE" w:rsidRPr="00DE54FD">
        <w:rPr>
          <w:sz w:val="24"/>
          <w:szCs w:val="24"/>
          <w:lang w:val="pl-PL"/>
        </w:rPr>
        <w:t xml:space="preserve"> – program Erasmus+ (umowa 2024).</w:t>
      </w:r>
    </w:p>
    <w:p w14:paraId="7DC288CA" w14:textId="77777777" w:rsidR="00A826BE" w:rsidRPr="007C7BC7" w:rsidRDefault="00A826BE" w:rsidP="00A826BE">
      <w:pPr>
        <w:spacing w:before="120"/>
        <w:ind w:left="567" w:hanging="567"/>
        <w:jc w:val="both"/>
        <w:rPr>
          <w:sz w:val="24"/>
          <w:szCs w:val="24"/>
          <w:lang w:val="pl-PL"/>
        </w:rPr>
      </w:pPr>
    </w:p>
    <w:p w14:paraId="396E8C8C" w14:textId="5EEF1005" w:rsidR="0036151E" w:rsidRPr="008F1460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BD62E83" w14:textId="5385E344" w:rsidR="00B221E1" w:rsidRPr="00DE54FD" w:rsidRDefault="00322E1A" w:rsidP="00DE54FD">
      <w:pPr>
        <w:ind w:left="567" w:hanging="567"/>
        <w:jc w:val="both"/>
        <w:rPr>
          <w:sz w:val="24"/>
          <w:szCs w:val="24"/>
          <w:highlight w:val="yellow"/>
          <w:lang w:val="pl-PL"/>
        </w:rPr>
      </w:pPr>
      <w:r w:rsidRPr="0074440F">
        <w:rPr>
          <w:sz w:val="24"/>
          <w:szCs w:val="24"/>
          <w:lang w:val="pl-PL"/>
        </w:rPr>
        <w:t>3.</w:t>
      </w:r>
      <w:r w:rsidR="00D30767" w:rsidRPr="0074440F">
        <w:rPr>
          <w:sz w:val="24"/>
          <w:szCs w:val="24"/>
          <w:lang w:val="pl-PL"/>
        </w:rPr>
        <w:t xml:space="preserve">4 </w:t>
      </w:r>
      <w:r w:rsidR="00522BBF" w:rsidRPr="0074440F">
        <w:rPr>
          <w:sz w:val="24"/>
          <w:szCs w:val="24"/>
          <w:lang w:val="pl-PL"/>
        </w:rPr>
        <w:tab/>
      </w:r>
      <w:r w:rsidR="7ED8CC96" w:rsidRPr="2031D444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1CD2339C" w:rsidRPr="2031D444">
        <w:rPr>
          <w:color w:val="00B050"/>
          <w:sz w:val="24"/>
          <w:szCs w:val="24"/>
          <w:lang w:val="pl-PL"/>
        </w:rPr>
        <w:t xml:space="preserve">[jeśli dotyczy: </w:t>
      </w:r>
      <w:r w:rsidR="1CD2339C" w:rsidRPr="2031D444">
        <w:rPr>
          <w:sz w:val="24"/>
          <w:szCs w:val="24"/>
          <w:lang w:val="pl-PL"/>
        </w:rPr>
        <w:t>oraz dni podróży</w:t>
      </w:r>
      <w:r w:rsidR="1CD2339C" w:rsidRPr="2031D444">
        <w:rPr>
          <w:color w:val="00B050"/>
          <w:sz w:val="24"/>
          <w:szCs w:val="24"/>
          <w:lang w:val="pl-PL"/>
        </w:rPr>
        <w:t xml:space="preserve">] </w:t>
      </w:r>
      <w:r w:rsidR="0081292B">
        <w:rPr>
          <w:color w:val="00B050"/>
          <w:sz w:val="24"/>
          <w:szCs w:val="24"/>
          <w:lang w:val="pl-PL"/>
        </w:rPr>
        <w:t xml:space="preserve">w formie płatności </w:t>
      </w:r>
      <w:r w:rsidR="7ED8CC96" w:rsidRPr="2031D444">
        <w:rPr>
          <w:sz w:val="24"/>
          <w:szCs w:val="24"/>
          <w:lang w:val="pl-PL"/>
        </w:rPr>
        <w:t xml:space="preserve">w wysokości </w:t>
      </w:r>
      <w:r w:rsidR="7ED8CC96" w:rsidRPr="2031D444">
        <w:rPr>
          <w:sz w:val="24"/>
          <w:szCs w:val="24"/>
          <w:highlight w:val="lightGray"/>
          <w:lang w:val="pl-PL"/>
        </w:rPr>
        <w:t>[…</w:t>
      </w:r>
      <w:r w:rsidR="7ED8CC96" w:rsidRPr="2031D444">
        <w:rPr>
          <w:sz w:val="24"/>
          <w:szCs w:val="24"/>
          <w:lang w:val="pl-PL"/>
        </w:rPr>
        <w:t xml:space="preserve"> EUR /</w:t>
      </w:r>
      <w:r w:rsidR="1CD2339C" w:rsidRPr="2031D444">
        <w:rPr>
          <w:color w:val="00B050"/>
          <w:sz w:val="24"/>
          <w:szCs w:val="24"/>
          <w:lang w:val="pl-PL"/>
        </w:rPr>
        <w:t>Opcja d</w:t>
      </w:r>
      <w:r w:rsidR="7ED8CC96" w:rsidRPr="2031D444">
        <w:rPr>
          <w:color w:val="00B050"/>
          <w:sz w:val="24"/>
          <w:szCs w:val="24"/>
          <w:lang w:val="pl-PL"/>
        </w:rPr>
        <w:t xml:space="preserve">la Uczestników ze stypendium zerowym </w:t>
      </w:r>
      <w:r w:rsidR="7ED8CC96" w:rsidRPr="2031D444">
        <w:rPr>
          <w:sz w:val="24"/>
          <w:szCs w:val="24"/>
          <w:highlight w:val="lightGray"/>
          <w:lang w:val="pl-PL"/>
        </w:rPr>
        <w:t>0]</w:t>
      </w:r>
      <w:r w:rsidR="7ED8CC96" w:rsidRPr="2031D444">
        <w:rPr>
          <w:color w:val="00B050"/>
          <w:sz w:val="24"/>
          <w:szCs w:val="24"/>
          <w:lang w:val="pl-PL"/>
        </w:rPr>
        <w:t>]</w:t>
      </w:r>
      <w:r w:rsidR="7ED8CC96" w:rsidRPr="2031D444">
        <w:rPr>
          <w:sz w:val="24"/>
          <w:szCs w:val="24"/>
          <w:lang w:val="pl-PL"/>
        </w:rPr>
        <w:t xml:space="preserve"> </w:t>
      </w:r>
    </w:p>
    <w:p w14:paraId="0E97F018" w14:textId="77777777" w:rsidR="006E119A" w:rsidRPr="006E119A" w:rsidRDefault="006E119A" w:rsidP="00AF779E">
      <w:pPr>
        <w:jc w:val="both"/>
        <w:rPr>
          <w:sz w:val="24"/>
          <w:szCs w:val="24"/>
          <w:lang w:val="pl-PL"/>
        </w:rPr>
      </w:pPr>
    </w:p>
    <w:p w14:paraId="0D89CFD1" w14:textId="01251E82" w:rsidR="00B221E1" w:rsidRDefault="7ED8CC9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</w:t>
      </w:r>
      <w:r w:rsidR="1CD2339C" w:rsidRPr="2031D444">
        <w:rPr>
          <w:sz w:val="24"/>
          <w:szCs w:val="24"/>
          <w:lang w:val="pl-PL"/>
        </w:rPr>
        <w:t>5</w:t>
      </w:r>
      <w:r w:rsidR="00B221E1">
        <w:tab/>
      </w:r>
      <w:r w:rsidRPr="2031D444">
        <w:rPr>
          <w:sz w:val="24"/>
          <w:szCs w:val="24"/>
          <w:lang w:val="pl-PL"/>
        </w:rPr>
        <w:t>Wkład na pokrycie kosztów poniesionych w związku z podróżą lub specjalnymi potrzebami (</w:t>
      </w:r>
      <w:r w:rsidRPr="2031D444">
        <w:rPr>
          <w:sz w:val="24"/>
          <w:szCs w:val="24"/>
          <w:highlight w:val="yellow"/>
          <w:lang w:val="pl-PL"/>
        </w:rPr>
        <w:t>[wybrać właściwe:]</w:t>
      </w:r>
      <w:r w:rsidRPr="2031D444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highlight w:val="lightGray"/>
          <w:lang w:val="pl-PL"/>
        </w:rPr>
        <w:t>[wsparcie włączenia, wsparcie wysokich kosztów podróży, wsparcie na koszty podróży, dopłata uzupełniająca dla osób z mniejszymi szansami]</w:t>
      </w:r>
      <w:r w:rsidRPr="2031D444">
        <w:rPr>
          <w:sz w:val="24"/>
          <w:szCs w:val="24"/>
          <w:lang w:val="pl-PL"/>
        </w:rPr>
        <w:t>) będzie wyliczony w oparciu o wymagane dokumenty dostarczone przez Uczestnika.</w:t>
      </w:r>
    </w:p>
    <w:p w14:paraId="08101E5F" w14:textId="77777777" w:rsidR="00700EE6" w:rsidRDefault="00700EE6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07CED327" w14:textId="77777777" w:rsidR="00A27893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77777777" w:rsidR="00A27893" w:rsidRP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40BB">
        <w:rPr>
          <w:b/>
          <w:bCs/>
          <w:sz w:val="24"/>
          <w:szCs w:val="24"/>
          <w:lang w:val="pl-PL"/>
        </w:rPr>
        <w:t>ARTYKUŁ 4 – KWALIFIKOWALNOŚĆ KOSZTÓW</w:t>
      </w:r>
    </w:p>
    <w:p w14:paraId="48FB3F15" w14:textId="4F44D41D" w:rsidR="00A27893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4.1</w:t>
      </w:r>
      <w:r w:rsidR="00A27893">
        <w:tab/>
      </w:r>
      <w:r w:rsidRPr="2031D444">
        <w:rPr>
          <w:sz w:val="24"/>
          <w:szCs w:val="24"/>
          <w:lang w:val="pl-PL"/>
        </w:rPr>
        <w:t xml:space="preserve">Aby koszty były kwalifikowalne, muszą być faktycznie wykorzystane lub wytworzone przez </w:t>
      </w:r>
      <w:r w:rsidR="009855BD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czestnika w okresie określonym w art. 2 i/lub być niezbędne do realizacji działania wymienionego w załączniku. Koszty muszą być zgodne z obowiązującym prawem krajowym dotyczącym podatków, pracy i ubezpieczeń społecznych.</w:t>
      </w:r>
    </w:p>
    <w:p w14:paraId="7EE62C24" w14:textId="4248CFFB" w:rsidR="00A27893" w:rsidRPr="00B221E1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4.2</w:t>
      </w:r>
      <w:r w:rsidR="00A27893">
        <w:tab/>
      </w:r>
      <w:r w:rsidR="009855BD">
        <w:rPr>
          <w:sz w:val="24"/>
          <w:szCs w:val="24"/>
          <w:lang w:val="pl-PL"/>
        </w:rPr>
        <w:t>Koszty rzeczywiste</w:t>
      </w:r>
      <w:r w:rsidRPr="2031D444">
        <w:rPr>
          <w:sz w:val="24"/>
          <w:szCs w:val="24"/>
          <w:lang w:val="pl-PL"/>
        </w:rPr>
        <w:t xml:space="preserve"> (np. wsparcie w zakresie włączenia) muszą opierać się na dokumentach potwierdzających, takich jak faktury, </w:t>
      </w:r>
      <w:r w:rsidR="49F361BF" w:rsidRPr="2031D444">
        <w:rPr>
          <w:sz w:val="24"/>
          <w:szCs w:val="24"/>
          <w:lang w:val="pl-PL"/>
        </w:rPr>
        <w:t>rachunki</w:t>
      </w:r>
      <w:r w:rsidRPr="2031D444">
        <w:rPr>
          <w:sz w:val="24"/>
          <w:szCs w:val="24"/>
          <w:lang w:val="pl-PL"/>
        </w:rPr>
        <w:t xml:space="preserve"> itp.</w:t>
      </w:r>
    </w:p>
    <w:p w14:paraId="01081C48" w14:textId="136ED591" w:rsidR="00B221E1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</w:t>
      </w:r>
      <w:r w:rsidR="00B221E1" w:rsidRPr="00B221E1">
        <w:rPr>
          <w:sz w:val="24"/>
          <w:szCs w:val="24"/>
          <w:lang w:val="pl-PL"/>
        </w:rPr>
        <w:t>3</w:t>
      </w:r>
      <w:r w:rsidR="00B221E1" w:rsidRPr="00B221E1">
        <w:rPr>
          <w:sz w:val="24"/>
          <w:szCs w:val="24"/>
          <w:lang w:val="pl-PL"/>
        </w:rPr>
        <w:tab/>
      </w:r>
      <w:r w:rsidR="00B221E1" w:rsidRPr="00B221E1">
        <w:rPr>
          <w:sz w:val="24"/>
          <w:szCs w:val="24"/>
        </w:rPr>
        <w:t xml:space="preserve">Wsparcie finansowe nie może być przeznaczone na pokrycie kosztów </w:t>
      </w:r>
      <w:r w:rsidR="009855BD">
        <w:rPr>
          <w:sz w:val="24"/>
          <w:szCs w:val="24"/>
        </w:rPr>
        <w:t xml:space="preserve">działań </w:t>
      </w:r>
      <w:r w:rsidR="00B221E1" w:rsidRPr="00B221E1">
        <w:rPr>
          <w:sz w:val="24"/>
          <w:szCs w:val="24"/>
        </w:rPr>
        <w:t xml:space="preserve">już sfinansowanych </w:t>
      </w:r>
      <w:r w:rsidR="009855BD">
        <w:rPr>
          <w:sz w:val="24"/>
          <w:szCs w:val="24"/>
        </w:rPr>
        <w:t>ze środków</w:t>
      </w:r>
      <w:r w:rsidR="00B221E1" w:rsidRPr="00B221E1">
        <w:rPr>
          <w:sz w:val="24"/>
          <w:szCs w:val="24"/>
        </w:rPr>
        <w:t xml:space="preserve"> UE.</w:t>
      </w:r>
      <w:r w:rsidR="2787C95F" w:rsidRPr="2031D444">
        <w:rPr>
          <w:sz w:val="24"/>
          <w:szCs w:val="24"/>
          <w:lang w:val="pl-PL"/>
        </w:rPr>
        <w:t xml:space="preserve"> </w:t>
      </w:r>
      <w:r w:rsidR="009855BD" w:rsidRPr="009855BD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1E03CC3B" w:rsidR="006E18CA" w:rsidRDefault="2787C95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4.4</w:t>
      </w:r>
      <w:r w:rsidR="006E18CA">
        <w:tab/>
      </w:r>
      <w:r w:rsidRPr="2031D444">
        <w:rPr>
          <w:sz w:val="24"/>
          <w:szCs w:val="24"/>
          <w:lang w:val="pl-PL"/>
        </w:rPr>
        <w:t xml:space="preserve">Uczestnik nie może żądać zwrotu strat z tytułu wymiany walut lub kosztów bankowych naliczonych przez bank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 xml:space="preserve">czestnika za przelewy z </w:t>
      </w:r>
      <w:r w:rsidR="009855BD">
        <w:rPr>
          <w:sz w:val="24"/>
          <w:szCs w:val="24"/>
          <w:lang w:val="pl-PL"/>
        </w:rPr>
        <w:t>Instytucji</w:t>
      </w:r>
      <w:r w:rsidRPr="2031D444">
        <w:rPr>
          <w:sz w:val="24"/>
          <w:szCs w:val="24"/>
          <w:lang w:val="pl-PL"/>
        </w:rPr>
        <w:t xml:space="preserve"> wysyłającej.  </w:t>
      </w:r>
    </w:p>
    <w:p w14:paraId="7F6AC862" w14:textId="77777777" w:rsid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30344544" w14:textId="77777777" w:rsidR="00A73EE2" w:rsidRPr="00A73EE2" w:rsidRDefault="00A73EE2" w:rsidP="00DE54FD">
      <w:pPr>
        <w:jc w:val="both"/>
        <w:rPr>
          <w:color w:val="00B050"/>
          <w:sz w:val="24"/>
          <w:szCs w:val="24"/>
          <w:lang w:val="pl-PL"/>
        </w:rPr>
      </w:pPr>
    </w:p>
    <w:p w14:paraId="5D13A5D8" w14:textId="4BB3DBB1" w:rsidR="00D96181" w:rsidRPr="00A73EE2" w:rsidRDefault="00A27893" w:rsidP="00DE54FD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D96181" w:rsidRPr="00A73EE2">
        <w:rPr>
          <w:sz w:val="24"/>
          <w:szCs w:val="24"/>
          <w:lang w:val="pl-PL"/>
        </w:rPr>
        <w:t>.1</w:t>
      </w:r>
      <w:r w:rsidR="00D96181" w:rsidRPr="00A73EE2">
        <w:rPr>
          <w:sz w:val="24"/>
          <w:szCs w:val="24"/>
          <w:lang w:val="pl-PL"/>
        </w:rPr>
        <w:tab/>
        <w:t>Płatność zostanie przekazana Uczestnikowi nie później niż (w zależności od tego, co nastąpi wcześniej):</w:t>
      </w:r>
    </w:p>
    <w:p w14:paraId="2BC610B1" w14:textId="16A4A570" w:rsidR="2031D444" w:rsidRDefault="00D96181" w:rsidP="00DE54FD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</w:p>
    <w:p w14:paraId="65F864A7" w14:textId="405F76E8" w:rsidR="00AF49AB" w:rsidRDefault="6120CCC0" w:rsidP="00AF49AB">
      <w:pPr>
        <w:spacing w:before="120"/>
        <w:ind w:left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Płatność będzie zrealizowana w wysokości </w:t>
      </w:r>
      <w:r w:rsidR="00DE54FD">
        <w:rPr>
          <w:sz w:val="24"/>
          <w:szCs w:val="24"/>
          <w:lang w:val="pl-PL"/>
        </w:rPr>
        <w:t>80</w:t>
      </w:r>
      <w:r w:rsidR="592A7725" w:rsidRPr="00DE54FD">
        <w:rPr>
          <w:sz w:val="24"/>
          <w:szCs w:val="24"/>
          <w:lang w:val="pl-PL"/>
        </w:rPr>
        <w:t>%</w:t>
      </w:r>
      <w:r w:rsidR="00DE54FD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lang w:val="pl-PL"/>
        </w:rPr>
        <w:t>kwoty określonej w artykule 3.</w:t>
      </w:r>
      <w:r w:rsidR="009855BD" w:rsidRPr="009855BD">
        <w:rPr>
          <w:rFonts w:ascii="Segoe UI" w:hAnsi="Segoe UI" w:cs="Segoe UI"/>
          <w:sz w:val="18"/>
          <w:szCs w:val="18"/>
        </w:rPr>
        <w:t xml:space="preserve"> </w:t>
      </w:r>
      <w:r w:rsidR="009855BD" w:rsidRPr="009855BD">
        <w:rPr>
          <w:sz w:val="24"/>
          <w:szCs w:val="24"/>
        </w:rPr>
        <w:t xml:space="preserve">W przypadku, gdy Uczestnik nie dostarczy wymaganych dokumentów w określonym przez Instytucję terminie, późniejsza płatność zaliczkowa jest wyjątkowo dopuszczalna z uzasadnionych </w:t>
      </w:r>
      <w:r w:rsidR="009855BD" w:rsidRPr="00C66C89">
        <w:rPr>
          <w:sz w:val="24"/>
          <w:szCs w:val="24"/>
        </w:rPr>
        <w:t>powodów.</w:t>
      </w:r>
      <w:r w:rsidR="00AF49AB" w:rsidRPr="00C66C89">
        <w:rPr>
          <w:sz w:val="24"/>
          <w:szCs w:val="24"/>
        </w:rPr>
        <w:t xml:space="preserve"> </w:t>
      </w:r>
      <w:r w:rsidR="00AF49AB" w:rsidRPr="00C66C89">
        <w:rPr>
          <w:sz w:val="24"/>
          <w:szCs w:val="24"/>
          <w:lang w:val="pl-PL"/>
        </w:rPr>
        <w:t>Instytucja zastrzega sobie prawo do późniejszego wypłacenia kwoty wsparcia indywidualnego w przypadku nieotrzymania dofinansowania z Fundacji Rozwoju Systemu Edukacji. W takiej sytuacji wypłata środków dla Uczestnika będzie realizowana w najszybszym z możliwych terminów po zaksięgowaniu dofinansowania z Fundacji Rozwoju Systemu Edukacji na koncie Instytucji.</w:t>
      </w:r>
      <w:r w:rsidR="00AF49AB">
        <w:rPr>
          <w:lang w:val="pl-PL"/>
        </w:rPr>
        <w:t xml:space="preserve">   </w:t>
      </w:r>
    </w:p>
    <w:p w14:paraId="07BBDE66" w14:textId="25844AD2" w:rsidR="00D96181" w:rsidRDefault="00D96181" w:rsidP="00AF49AB">
      <w:pPr>
        <w:jc w:val="both"/>
        <w:rPr>
          <w:sz w:val="24"/>
          <w:szCs w:val="24"/>
          <w:lang w:val="pl-PL"/>
        </w:rPr>
      </w:pPr>
    </w:p>
    <w:p w14:paraId="74B0CF64" w14:textId="77777777" w:rsidR="008F47F7" w:rsidRDefault="008F47F7" w:rsidP="00A840BB">
      <w:pPr>
        <w:ind w:left="567"/>
        <w:jc w:val="both"/>
        <w:rPr>
          <w:sz w:val="24"/>
          <w:szCs w:val="24"/>
          <w:lang w:val="pl-PL"/>
        </w:rPr>
      </w:pPr>
    </w:p>
    <w:p w14:paraId="35871294" w14:textId="69E1FBD2" w:rsidR="00AF49AB" w:rsidRDefault="2C569326" w:rsidP="00C66C89">
      <w:pPr>
        <w:spacing w:before="120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lastRenderedPageBreak/>
        <w:t>5</w:t>
      </w:r>
      <w:r w:rsidR="6120CCC0" w:rsidRPr="2031D444">
        <w:rPr>
          <w:sz w:val="24"/>
          <w:szCs w:val="24"/>
          <w:lang w:val="pl-PL"/>
        </w:rPr>
        <w:t>.2</w:t>
      </w:r>
      <w:r w:rsidR="00D96181">
        <w:tab/>
      </w:r>
      <w:r w:rsidR="1E74C315" w:rsidRPr="2031D444">
        <w:rPr>
          <w:sz w:val="24"/>
          <w:szCs w:val="24"/>
          <w:lang w:val="pl-PL"/>
        </w:rPr>
        <w:t>Z</w:t>
      </w:r>
      <w:r w:rsidR="6120CCC0" w:rsidRPr="2031D444">
        <w:rPr>
          <w:sz w:val="24"/>
          <w:szCs w:val="24"/>
          <w:lang w:val="pl-PL"/>
        </w:rPr>
        <w:t xml:space="preserve">łożenie przez Uczestnika indywidualnego raportu z mobilności w systemie </w:t>
      </w:r>
      <w:r w:rsidR="6120CCC0" w:rsidRPr="2031D444">
        <w:rPr>
          <w:i/>
          <w:iCs/>
          <w:sz w:val="24"/>
          <w:szCs w:val="24"/>
          <w:lang w:val="pl-PL"/>
        </w:rPr>
        <w:t>on-line EUSurvey</w:t>
      </w:r>
      <w:r w:rsidR="6120CCC0" w:rsidRPr="2031D444">
        <w:rPr>
          <w:sz w:val="24"/>
          <w:szCs w:val="24"/>
          <w:lang w:val="pl-PL"/>
        </w:rPr>
        <w:t xml:space="preserve"> będzie traktowane jako wniosek Uczestnika o płatność pozostałej kwoty </w:t>
      </w:r>
      <w:r w:rsidR="009855BD">
        <w:rPr>
          <w:sz w:val="24"/>
          <w:szCs w:val="24"/>
          <w:lang w:val="pl-PL"/>
        </w:rPr>
        <w:t>wsparcia finansowego</w:t>
      </w:r>
      <w:r w:rsidR="6120CCC0" w:rsidRPr="2031D444">
        <w:rPr>
          <w:sz w:val="24"/>
          <w:szCs w:val="24"/>
          <w:lang w:val="pl-PL"/>
        </w:rPr>
        <w:t>. Instytucja ma</w:t>
      </w:r>
      <w:r w:rsidR="6120CCC0" w:rsidRPr="2031D444">
        <w:rPr>
          <w:color w:val="00B050"/>
          <w:sz w:val="24"/>
          <w:szCs w:val="24"/>
          <w:lang w:val="pl-PL"/>
        </w:rPr>
        <w:t xml:space="preserve"> </w:t>
      </w:r>
      <w:r w:rsidR="6120CCC0" w:rsidRPr="2031D444">
        <w:rPr>
          <w:sz w:val="24"/>
          <w:szCs w:val="24"/>
          <w:lang w:val="pl-PL"/>
        </w:rPr>
        <w:t>45 dni kalendarzowych na wypłatę pozostałej kwoty lub na wystawienie polecenia zwrotu, jeżeli taki zwrot będzie należny.</w:t>
      </w:r>
      <w:r w:rsidR="00AF49AB">
        <w:rPr>
          <w:sz w:val="24"/>
          <w:szCs w:val="24"/>
          <w:lang w:val="pl-PL"/>
        </w:rPr>
        <w:t xml:space="preserve"> </w:t>
      </w:r>
      <w:r w:rsidR="00AF49AB" w:rsidRPr="00C66C89">
        <w:rPr>
          <w:sz w:val="24"/>
          <w:szCs w:val="24"/>
          <w:lang w:val="pl-PL"/>
        </w:rPr>
        <w:t xml:space="preserve">Niemniej Instytucja zastrzega sobie prawo do rozliczenia wyjazdu i dokonania płatności pozostałej kwoty dofinansowania po dopełnieniu przez studenta wszelkich formalności tj. złożenie indywidualnego raportu z wyjazdu w systemie </w:t>
      </w:r>
      <w:r w:rsidR="00AF49AB" w:rsidRPr="00C66C89">
        <w:rPr>
          <w:i/>
          <w:sz w:val="24"/>
          <w:szCs w:val="24"/>
          <w:lang w:val="pl-PL"/>
        </w:rPr>
        <w:t>on-line EU survey</w:t>
      </w:r>
      <w:r w:rsidR="00AF49AB" w:rsidRPr="00C66C89">
        <w:rPr>
          <w:sz w:val="24"/>
          <w:szCs w:val="24"/>
          <w:lang w:val="pl-PL"/>
        </w:rPr>
        <w:t>, dostarczenie do Biura ds. wymiany międzynarodowej dokumentu potwierdzającego długość pobytu oraz realizację LA (zgodnie z zapisami w Zasadach realizacji długoterminowych wyjazdów na studia w zakresie mobilności fizycznej do państw członkowskich UE i państw trzecich stowarzyszonych z Programem – program Erasmus+ (umowa 2024)/ Zasadach rekrutacji i realizacji - długoterminowe wyjazdy na praktyki w zakresie mobilności fizycznej i mieszanej do państw członkowskich UE, państw trzecich stowarzyszonych z Programem i państw trzecich niestowarzyszonych z Programem – program Erasmus+ (umowa 2024).</w:t>
      </w:r>
    </w:p>
    <w:p w14:paraId="1D86A95E" w14:textId="77777777" w:rsidR="00C66C89" w:rsidRPr="00C66C89" w:rsidRDefault="00C66C89" w:rsidP="00C66C89">
      <w:pPr>
        <w:spacing w:before="120"/>
        <w:jc w:val="both"/>
        <w:rPr>
          <w:lang w:val="pl-PL"/>
        </w:rPr>
      </w:pPr>
    </w:p>
    <w:p w14:paraId="19E09368" w14:textId="202C4FE5" w:rsidR="00AF49AB" w:rsidRPr="00A663AF" w:rsidRDefault="00A372C9" w:rsidP="00C66C89">
      <w:pPr>
        <w:spacing w:before="120"/>
        <w:jc w:val="both"/>
        <w:rPr>
          <w:sz w:val="24"/>
          <w:szCs w:val="24"/>
          <w:lang w:val="pl-PL"/>
        </w:rPr>
      </w:pPr>
      <w:r w:rsidRPr="00C66C89">
        <w:rPr>
          <w:sz w:val="24"/>
          <w:szCs w:val="24"/>
          <w:lang w:val="pl-PL"/>
        </w:rPr>
        <w:t>5</w:t>
      </w:r>
      <w:r w:rsidR="00AF49AB" w:rsidRPr="00C66C89">
        <w:rPr>
          <w:sz w:val="24"/>
          <w:szCs w:val="24"/>
          <w:lang w:val="pl-PL"/>
        </w:rPr>
        <w:t>.</w:t>
      </w:r>
      <w:r w:rsidRPr="00C66C89">
        <w:rPr>
          <w:sz w:val="24"/>
          <w:szCs w:val="24"/>
          <w:lang w:val="pl-PL"/>
        </w:rPr>
        <w:t>3</w:t>
      </w:r>
      <w:r w:rsidR="00AF49AB" w:rsidRPr="00C66C89">
        <w:rPr>
          <w:sz w:val="24"/>
          <w:szCs w:val="24"/>
          <w:lang w:val="pl-PL"/>
        </w:rPr>
        <w:t xml:space="preserve"> </w:t>
      </w:r>
      <w:r w:rsidRPr="00C66C89">
        <w:rPr>
          <w:sz w:val="24"/>
          <w:szCs w:val="24"/>
          <w:lang w:val="pl-PL"/>
        </w:rPr>
        <w:t xml:space="preserve"> </w:t>
      </w:r>
      <w:r w:rsidR="00AF49AB" w:rsidRPr="00C66C89">
        <w:rPr>
          <w:sz w:val="24"/>
          <w:szCs w:val="24"/>
          <w:lang w:val="pl-PL"/>
        </w:rPr>
        <w:t xml:space="preserve"> Uczestnik zobowiązany jest do własnoręcznego wypełnienia sekcji niniejszej umowy dotyczącej rachunku bankowego. W przypadku podania przez uczestnika niepełnych lub nieprawidłowych danych Instytu</w:t>
      </w:r>
      <w:r w:rsidR="004A62AE" w:rsidRPr="00C66C89">
        <w:rPr>
          <w:sz w:val="24"/>
          <w:szCs w:val="24"/>
          <w:lang w:val="pl-PL"/>
        </w:rPr>
        <w:t>cj</w:t>
      </w:r>
      <w:r w:rsidR="00AF49AB" w:rsidRPr="00C66C89">
        <w:rPr>
          <w:sz w:val="24"/>
          <w:szCs w:val="24"/>
          <w:lang w:val="pl-PL"/>
        </w:rPr>
        <w:t>a obciąży go kosztami operacji bankowych, które powstały na skutek podania przez Uczestnika nieprawidłowych danych.</w:t>
      </w:r>
    </w:p>
    <w:p w14:paraId="729F0C11" w14:textId="13F46464" w:rsidR="00E82961" w:rsidRPr="0074440F" w:rsidRDefault="00E82961" w:rsidP="00C66C89">
      <w:pPr>
        <w:jc w:val="both"/>
        <w:rPr>
          <w:sz w:val="24"/>
          <w:szCs w:val="24"/>
          <w:lang w:val="pl-PL"/>
        </w:rPr>
      </w:pPr>
    </w:p>
    <w:p w14:paraId="778AB135" w14:textId="77777777" w:rsidR="00D96181" w:rsidRPr="0074440F" w:rsidRDefault="00D96181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1B9969BC" w14:textId="349AB3DD" w:rsidR="00D96181" w:rsidRPr="00F31C73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6B4A01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</w:p>
    <w:p w14:paraId="677A0D03" w14:textId="0E9B6682" w:rsidR="00D96181" w:rsidRPr="005D7084" w:rsidRDefault="4FCAE6A6" w:rsidP="00A84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2031D444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.1   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96181">
        <w:tab/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Instytucja wysyłająca wystąpi do Uczestnika o zwrot wsparcia finansowego lub jego części, jeśli Uczestnik nie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Umowy. Jeżeli uczestnik wypowie Umowę przed jej wygaśnięciem,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będzie musiał zwrócić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 xml:space="preserve">zaakceptowane przez 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do </w:t>
      </w:r>
      <w:r w:rsidR="00541358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74440F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highlight w:val="red"/>
          <w:lang w:val="pl-PL" w:eastAsia="en-US"/>
        </w:rPr>
      </w:pPr>
    </w:p>
    <w:p w14:paraId="66202C99" w14:textId="7AB83F65" w:rsidR="00713C15" w:rsidRPr="0074440F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t xml:space="preserve">ARTYKUŁ </w:t>
      </w:r>
      <w:r w:rsidR="006B4A01" w:rsidRPr="0074440F">
        <w:rPr>
          <w:b/>
          <w:bCs/>
          <w:sz w:val="24"/>
          <w:szCs w:val="24"/>
          <w:lang w:val="pl-PL"/>
        </w:rPr>
        <w:t>7</w:t>
      </w:r>
      <w:r w:rsidRPr="0074440F">
        <w:rPr>
          <w:b/>
          <w:bCs/>
          <w:sz w:val="24"/>
          <w:szCs w:val="24"/>
          <w:lang w:val="pl-PL"/>
        </w:rPr>
        <w:t xml:space="preserve"> –</w:t>
      </w:r>
      <w:r w:rsidRPr="0074440F" w:rsidDel="00DF1DE2">
        <w:rPr>
          <w:b/>
          <w:bCs/>
          <w:sz w:val="24"/>
          <w:szCs w:val="24"/>
          <w:lang w:val="pl-PL"/>
        </w:rPr>
        <w:t xml:space="preserve"> </w:t>
      </w:r>
      <w:r w:rsidRPr="0074440F">
        <w:rPr>
          <w:b/>
          <w:bCs/>
          <w:sz w:val="24"/>
          <w:szCs w:val="24"/>
          <w:lang w:val="pl-PL"/>
        </w:rPr>
        <w:t>UBEZPIECZENIE</w:t>
      </w:r>
    </w:p>
    <w:p w14:paraId="7B5BE31D" w14:textId="2ED3EA20" w:rsidR="00713C15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2337C5">
        <w:rPr>
          <w:sz w:val="24"/>
          <w:szCs w:val="24"/>
          <w:lang w:val="pl-PL"/>
        </w:rPr>
        <w:t>.1</w:t>
      </w:r>
      <w:r w:rsidR="00713C15" w:rsidRPr="002337C5">
        <w:rPr>
          <w:sz w:val="24"/>
          <w:szCs w:val="24"/>
          <w:lang w:val="pl-PL"/>
        </w:rPr>
        <w:tab/>
        <w:t>Instytucja wysyłająca upewni się, że Uczestnik posiada odpowiednie ubezpieczenie poprzez zapewnienie ubezpieczenia lub poprzez uzgodnienie z instytucją przyjmującą, że ta ostatnia zapewni ubezpieczenie lub</w:t>
      </w:r>
      <w:r w:rsidR="00734C26" w:rsidRPr="00734C26">
        <w:rPr>
          <w:rFonts w:ascii="Segoe UI" w:hAnsi="Segoe UI" w:cs="Segoe UI"/>
          <w:sz w:val="18"/>
          <w:szCs w:val="18"/>
        </w:rPr>
        <w:t xml:space="preserve"> </w:t>
      </w:r>
      <w:r w:rsidR="00734C26" w:rsidRPr="00734C26">
        <w:rPr>
          <w:sz w:val="24"/>
          <w:szCs w:val="24"/>
        </w:rPr>
        <w:t>poprzez dostarczenie odpowiednich informacji i wsparcia w celu zawarcia ubezpieczenia przez Uczestnika we własnym zakresie</w:t>
      </w:r>
      <w:r w:rsidR="00713C15" w:rsidRPr="00F42435">
        <w:rPr>
          <w:sz w:val="24"/>
          <w:szCs w:val="24"/>
          <w:lang w:val="pl-PL"/>
        </w:rPr>
        <w:t xml:space="preserve">. </w:t>
      </w:r>
      <w:r w:rsidR="00713C15" w:rsidRPr="002337C5">
        <w:rPr>
          <w:sz w:val="24"/>
          <w:szCs w:val="24"/>
          <w:highlight w:val="yellow"/>
          <w:lang w:val="pl-PL"/>
        </w:rPr>
        <w:t>[</w:t>
      </w:r>
      <w:r w:rsidR="00713C15" w:rsidRPr="002337C5">
        <w:rPr>
          <w:rStyle w:val="y2iqfc"/>
          <w:sz w:val="24"/>
          <w:szCs w:val="24"/>
          <w:highlight w:val="yellow"/>
        </w:rPr>
        <w:t xml:space="preserve">W przypadku, gdy instytucja przyjmująca jest określona w art. </w:t>
      </w:r>
      <w:r>
        <w:rPr>
          <w:rStyle w:val="y2iqfc"/>
          <w:sz w:val="24"/>
          <w:szCs w:val="24"/>
          <w:highlight w:val="yellow"/>
        </w:rPr>
        <w:t>7</w:t>
      </w:r>
      <w:r w:rsidR="00713C15" w:rsidRPr="002337C5">
        <w:rPr>
          <w:rStyle w:val="y2iqfc"/>
          <w:sz w:val="24"/>
          <w:szCs w:val="24"/>
          <w:highlight w:val="yellow"/>
        </w:rPr>
        <w:t xml:space="preserve">.3 jako odpowiedzialna, należy dołączyć odpowiedni dokument do niniejszej </w:t>
      </w:r>
      <w:r w:rsidR="004462B2">
        <w:rPr>
          <w:rStyle w:val="y2iqfc"/>
          <w:sz w:val="24"/>
          <w:szCs w:val="24"/>
          <w:highlight w:val="yellow"/>
        </w:rPr>
        <w:t>U</w:t>
      </w:r>
      <w:r w:rsidR="00713C15" w:rsidRPr="002337C5">
        <w:rPr>
          <w:rStyle w:val="y2iqfc"/>
          <w:sz w:val="24"/>
          <w:szCs w:val="24"/>
          <w:highlight w:val="yellow"/>
        </w:rPr>
        <w:t>mowy określający warunki świadczenia ubezpieczenia i zawierający zgodę instytucji przyjmującej]</w:t>
      </w:r>
      <w:r w:rsidR="00713C15">
        <w:rPr>
          <w:rStyle w:val="y2iqfc"/>
          <w:sz w:val="24"/>
          <w:szCs w:val="24"/>
        </w:rPr>
        <w:t>.</w:t>
      </w:r>
    </w:p>
    <w:p w14:paraId="0F24C134" w14:textId="01F1ACB0" w:rsidR="00713C15" w:rsidRPr="003D0906" w:rsidRDefault="00E82961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 xml:space="preserve">.2  </w:t>
      </w:r>
      <w:r>
        <w:rPr>
          <w:sz w:val="24"/>
          <w:szCs w:val="24"/>
          <w:lang w:val="pl-PL"/>
        </w:rPr>
        <w:tab/>
      </w:r>
      <w:r w:rsidR="00713C15" w:rsidRPr="003D0906">
        <w:rPr>
          <w:sz w:val="24"/>
          <w:szCs w:val="24"/>
          <w:lang w:val="pl-PL"/>
        </w:rPr>
        <w:t>Ubezpieczenie obejmuje co najmniej ubezpieczenie zdrowotne</w:t>
      </w:r>
      <w:r w:rsidR="00D96181">
        <w:rPr>
          <w:sz w:val="24"/>
          <w:szCs w:val="24"/>
          <w:lang w:val="pl-PL"/>
        </w:rPr>
        <w:t xml:space="preserve"> </w:t>
      </w:r>
      <w:r w:rsidR="00D96181" w:rsidRPr="00D96181">
        <w:rPr>
          <w:sz w:val="24"/>
          <w:szCs w:val="24"/>
          <w:highlight w:val="lightGray"/>
          <w:lang w:val="pl-PL"/>
        </w:rPr>
        <w:t xml:space="preserve">[obowiązkowe w przypadku praktyki i opcjonalne </w:t>
      </w:r>
      <w:r w:rsidR="00D96181">
        <w:rPr>
          <w:sz w:val="24"/>
          <w:szCs w:val="24"/>
          <w:highlight w:val="lightGray"/>
          <w:lang w:val="pl-PL"/>
        </w:rPr>
        <w:t>w przypadku</w:t>
      </w:r>
      <w:r w:rsidR="00D96181" w:rsidRPr="00D96181">
        <w:rPr>
          <w:sz w:val="24"/>
          <w:szCs w:val="24"/>
          <w:highlight w:val="lightGray"/>
          <w:lang w:val="pl-PL"/>
        </w:rPr>
        <w:t xml:space="preserve"> pozostałych mobilności:]</w:t>
      </w:r>
      <w:r w:rsidR="00713C15" w:rsidRPr="003D0906">
        <w:rPr>
          <w:sz w:val="24"/>
          <w:szCs w:val="24"/>
          <w:lang w:val="pl-PL"/>
        </w:rPr>
        <w:t xml:space="preserve">, odpowiedzialności cywilnej i następstw nieszczęśliwych wypadków. </w:t>
      </w:r>
      <w:r w:rsidR="00713C15" w:rsidRPr="003D0906">
        <w:rPr>
          <w:sz w:val="24"/>
          <w:szCs w:val="24"/>
          <w:highlight w:val="yellow"/>
          <w:lang w:val="pl-PL"/>
        </w:rPr>
        <w:t>[</w:t>
      </w:r>
      <w:r w:rsidR="00713C15" w:rsidRPr="003D0906">
        <w:rPr>
          <w:sz w:val="24"/>
          <w:szCs w:val="24"/>
          <w:highlight w:val="yellow"/>
        </w:rPr>
        <w:t>W</w:t>
      </w:r>
      <w:r w:rsidR="00713C15" w:rsidRPr="003D0906">
        <w:rPr>
          <w:rStyle w:val="y2iqfc"/>
          <w:sz w:val="24"/>
          <w:szCs w:val="24"/>
          <w:highlight w:val="yellow"/>
        </w:rPr>
        <w:t xml:space="preserve"> przypadku mobilności wewnątrz UE krajowe ubezpieczenie zdrowotne </w:t>
      </w:r>
      <w:r w:rsidR="004462B2">
        <w:rPr>
          <w:rStyle w:val="y2iqfc"/>
          <w:sz w:val="24"/>
          <w:szCs w:val="24"/>
          <w:highlight w:val="yellow"/>
        </w:rPr>
        <w:t>U</w:t>
      </w:r>
      <w:r w:rsidR="00713C15" w:rsidRPr="003D0906">
        <w:rPr>
          <w:rStyle w:val="y2iqfc"/>
          <w:sz w:val="24"/>
          <w:szCs w:val="24"/>
          <w:highlight w:val="yellow"/>
        </w:rPr>
        <w:t xml:space="preserve">czestnika będzie obejmować podstawową ochronę podczas pobytu w 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</w:t>
      </w:r>
      <w:r w:rsidR="001C0372">
        <w:rPr>
          <w:rStyle w:val="y2iqfc"/>
          <w:sz w:val="24"/>
          <w:szCs w:val="24"/>
          <w:highlight w:val="yellow"/>
        </w:rPr>
        <w:t>trzecimi niestowarzyszonymi z programem</w:t>
      </w:r>
      <w:r w:rsidR="00713C15" w:rsidRPr="003D0906">
        <w:rPr>
          <w:rStyle w:val="y2iqfc"/>
          <w:sz w:val="24"/>
          <w:szCs w:val="24"/>
          <w:highlight w:val="yellow"/>
        </w:rPr>
        <w:t xml:space="preserve">. 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 jeśli nie są uważani za pracowników lub formalnie zarejestrowani w instytucji przyjmującej. Oprócz powyższego, </w:t>
      </w:r>
      <w:r w:rsidR="00713C15" w:rsidRPr="003D0906">
        <w:rPr>
          <w:rStyle w:val="y2iqfc"/>
          <w:sz w:val="24"/>
          <w:szCs w:val="24"/>
          <w:highlight w:val="yellow"/>
        </w:rPr>
        <w:lastRenderedPageBreak/>
        <w:t>zalecane jest ubezpieczenie od utraty lub kradzieży dokumentów, biletów podróżnych i bagażu.]</w:t>
      </w:r>
    </w:p>
    <w:p w14:paraId="1014B080" w14:textId="77777777" w:rsidR="00713C15" w:rsidRPr="003D0906" w:rsidRDefault="00713C15" w:rsidP="00A840BB">
      <w:pPr>
        <w:ind w:left="567" w:hanging="567"/>
        <w:jc w:val="both"/>
        <w:rPr>
          <w:sz w:val="24"/>
          <w:szCs w:val="24"/>
          <w:lang w:val="pl-PL"/>
        </w:rPr>
      </w:pPr>
      <w:r w:rsidRPr="003D0906">
        <w:rPr>
          <w:sz w:val="24"/>
          <w:szCs w:val="24"/>
          <w:lang w:val="pl-PL"/>
        </w:rPr>
        <w:tab/>
      </w:r>
      <w:r w:rsidRPr="003D0906">
        <w:rPr>
          <w:sz w:val="24"/>
          <w:szCs w:val="24"/>
          <w:highlight w:val="yellow"/>
          <w:lang w:val="pl-PL"/>
        </w:rPr>
        <w:t>[Zaleca się zamieszczenie następujących informacji:]</w:t>
      </w:r>
      <w:r w:rsidRPr="003D0906">
        <w:rPr>
          <w:sz w:val="24"/>
          <w:szCs w:val="24"/>
          <w:lang w:val="pl-PL"/>
        </w:rPr>
        <w:t xml:space="preserve"> </w:t>
      </w:r>
      <w:r w:rsidRPr="003D0906">
        <w:rPr>
          <w:sz w:val="24"/>
          <w:szCs w:val="24"/>
          <w:highlight w:val="lightGray"/>
          <w:lang w:val="pl-PL"/>
        </w:rPr>
        <w:t>Ubezpieczyciel/ele, numer polisy, warunki ubezpieczenia]</w:t>
      </w:r>
    </w:p>
    <w:p w14:paraId="4C830573" w14:textId="5A90C6DE" w:rsidR="00DC3301" w:rsidRPr="00713C15" w:rsidRDefault="00E82961" w:rsidP="00A840BB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>.3</w:t>
      </w:r>
      <w:r w:rsidR="00713C15" w:rsidRPr="003D0906">
        <w:rPr>
          <w:sz w:val="24"/>
          <w:szCs w:val="24"/>
          <w:lang w:val="pl-PL"/>
        </w:rPr>
        <w:tab/>
        <w:t>S</w:t>
      </w:r>
      <w:r w:rsidR="00713C15" w:rsidRPr="003D0906">
        <w:rPr>
          <w:rStyle w:val="y2iqfc"/>
          <w:sz w:val="24"/>
          <w:szCs w:val="24"/>
        </w:rPr>
        <w:t xml:space="preserve">troną odpowiedzialną za objęcie ochroną ubezpieczeniową jest: </w:t>
      </w:r>
      <w:r w:rsidR="004462B2">
        <w:rPr>
          <w:rStyle w:val="y2iqfc"/>
          <w:sz w:val="24"/>
          <w:szCs w:val="24"/>
          <w:highlight w:val="lightGray"/>
        </w:rPr>
        <w:t>U</w:t>
      </w:r>
      <w:r w:rsidR="00713C15" w:rsidRPr="003D0906">
        <w:rPr>
          <w:rStyle w:val="y2iqfc"/>
          <w:sz w:val="24"/>
          <w:szCs w:val="24"/>
          <w:highlight w:val="lightGray"/>
        </w:rPr>
        <w:t>czestnik LUB instytucja przyjmująca]</w:t>
      </w:r>
      <w:r w:rsidR="00713C15" w:rsidRPr="003D0906">
        <w:rPr>
          <w:rStyle w:val="y2iqfc"/>
          <w:sz w:val="24"/>
          <w:szCs w:val="24"/>
        </w:rPr>
        <w:t xml:space="preserve"> </w:t>
      </w:r>
      <w:r w:rsidR="00713C15" w:rsidRPr="003D0906">
        <w:rPr>
          <w:rStyle w:val="y2iqfc"/>
          <w:sz w:val="24"/>
          <w:szCs w:val="24"/>
          <w:highlight w:val="yellow"/>
        </w:rPr>
        <w:t>[W przypadku odrębnych ubezpieczeń strony odpowiedzialne mogą być różne i zostaną wymienione tutaj zgodnie z ich zakresem odpowiedzialności]</w:t>
      </w:r>
      <w:r w:rsidR="00713C15" w:rsidRPr="003D0906">
        <w:rPr>
          <w:rStyle w:val="y2iqfc"/>
          <w:sz w:val="24"/>
          <w:szCs w:val="24"/>
        </w:rPr>
        <w:t>.</w:t>
      </w:r>
    </w:p>
    <w:p w14:paraId="53A06F1D" w14:textId="77777777" w:rsidR="00DC3301" w:rsidRPr="007C3210" w:rsidRDefault="00DC3301" w:rsidP="00A840BB">
      <w:pPr>
        <w:jc w:val="both"/>
        <w:rPr>
          <w:sz w:val="24"/>
          <w:szCs w:val="24"/>
        </w:rPr>
      </w:pPr>
    </w:p>
    <w:p w14:paraId="44E167CA" w14:textId="67EDEFCB" w:rsidR="00713C15" w:rsidRPr="00F30AF8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94F0DC5" w14:textId="5A6E7BB1" w:rsidR="00DC3301" w:rsidRDefault="4FCAE6A6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8</w:t>
      </w:r>
      <w:r w:rsidR="2E96EF70" w:rsidRPr="0074440F">
        <w:rPr>
          <w:sz w:val="24"/>
          <w:szCs w:val="24"/>
          <w:lang w:val="pl-PL"/>
        </w:rPr>
        <w:t>.</w:t>
      </w:r>
      <w:r w:rsidR="30B9312E" w:rsidRPr="0074440F">
        <w:rPr>
          <w:sz w:val="24"/>
          <w:szCs w:val="24"/>
          <w:lang w:val="pl-PL"/>
        </w:rPr>
        <w:t>1</w:t>
      </w:r>
      <w:r w:rsidR="009A20D6">
        <w:tab/>
      </w:r>
      <w:r w:rsidR="183A7C4A" w:rsidRPr="0074440F">
        <w:rPr>
          <w:sz w:val="24"/>
          <w:szCs w:val="24"/>
          <w:lang w:val="pl-PL"/>
        </w:rPr>
        <w:t xml:space="preserve">Uczestnik może </w:t>
      </w:r>
      <w:r w:rsidR="00541358" w:rsidRPr="0074440F">
        <w:rPr>
          <w:sz w:val="24"/>
          <w:szCs w:val="24"/>
          <w:lang w:val="pl-PL"/>
        </w:rPr>
        <w:t xml:space="preserve">przystąpić do </w:t>
      </w:r>
      <w:r w:rsidR="183A7C4A" w:rsidRPr="0074440F">
        <w:rPr>
          <w:sz w:val="24"/>
          <w:szCs w:val="24"/>
          <w:lang w:val="pl-PL"/>
        </w:rPr>
        <w:t>test</w:t>
      </w:r>
      <w:r w:rsidR="00541358" w:rsidRPr="0074440F">
        <w:rPr>
          <w:sz w:val="24"/>
          <w:szCs w:val="24"/>
          <w:lang w:val="pl-PL"/>
        </w:rPr>
        <w:t>u</w:t>
      </w:r>
      <w:r w:rsidR="183A7C4A" w:rsidRPr="0074440F">
        <w:rPr>
          <w:sz w:val="24"/>
          <w:szCs w:val="24"/>
          <w:lang w:val="pl-PL"/>
        </w:rPr>
        <w:t xml:space="preserve"> językow</w:t>
      </w:r>
      <w:r w:rsidR="00541358" w:rsidRPr="0074440F">
        <w:rPr>
          <w:sz w:val="24"/>
          <w:szCs w:val="24"/>
          <w:lang w:val="pl-PL"/>
        </w:rPr>
        <w:t>ego</w:t>
      </w:r>
      <w:r w:rsidR="183A7C4A" w:rsidRPr="0074440F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7F9ACE72" w14:textId="77777777" w:rsidR="000161CA" w:rsidRPr="0074440F" w:rsidRDefault="000161CA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022D66C7" w14:textId="28B77809" w:rsidR="00DC3301" w:rsidRDefault="00E82961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8</w:t>
      </w:r>
      <w:r w:rsidR="00DC3301">
        <w:rPr>
          <w:sz w:val="24"/>
          <w:szCs w:val="24"/>
          <w:lang w:val="pl-PL"/>
        </w:rPr>
        <w:t xml:space="preserve">.2   </w:t>
      </w:r>
      <w:r w:rsidR="000161CA">
        <w:rPr>
          <w:sz w:val="24"/>
          <w:szCs w:val="24"/>
          <w:lang w:val="pl-PL"/>
        </w:rPr>
        <w:t xml:space="preserve"> </w:t>
      </w:r>
      <w:r w:rsidR="00DC3301" w:rsidRPr="00DC3301">
        <w:rPr>
          <w:sz w:val="24"/>
          <w:szCs w:val="24"/>
          <w:lang w:val="pl-PL"/>
        </w:rPr>
        <w:t xml:space="preserve">Uczestnik włada językiem </w:t>
      </w:r>
      <w:r w:rsidR="00DC3301" w:rsidRPr="00DC3301">
        <w:rPr>
          <w:sz w:val="24"/>
          <w:szCs w:val="24"/>
          <w:highlight w:val="lightGray"/>
          <w:lang w:val="pl-PL"/>
        </w:rPr>
        <w:t>[określić główny język studiów/praktyki]</w:t>
      </w:r>
      <w:r w:rsidR="00DC3301" w:rsidRPr="00DC3301">
        <w:rPr>
          <w:sz w:val="24"/>
          <w:szCs w:val="24"/>
          <w:lang w:val="pl-PL"/>
        </w:rPr>
        <w:t xml:space="preserve"> na poziomie </w:t>
      </w:r>
      <w:r w:rsidR="00DC3301" w:rsidRPr="00DC3301">
        <w:rPr>
          <w:sz w:val="24"/>
          <w:szCs w:val="24"/>
          <w:highlight w:val="lightGray"/>
          <w:lang w:val="pl-PL"/>
        </w:rPr>
        <w:t>A1</w:t>
      </w:r>
      <w:sdt>
        <w:sdtPr>
          <w:rPr>
            <w:sz w:val="24"/>
            <w:szCs w:val="24"/>
            <w:highlight w:val="lightGray"/>
            <w:lang w:val="en-GB"/>
          </w:rPr>
          <w:id w:val="46191210"/>
          <w:placeholder>
            <w:docPart w:val="6264DE8F0DA54CCDBF02C6BA81BEE9DE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A2</w:t>
      </w:r>
      <w:sdt>
        <w:sdtPr>
          <w:rPr>
            <w:sz w:val="24"/>
            <w:szCs w:val="24"/>
            <w:highlight w:val="lightGray"/>
            <w:lang w:val="en-GB"/>
          </w:rPr>
          <w:id w:val="1601454037"/>
          <w:placeholder>
            <w:docPart w:val="686DA840650A462DB5A9792BCCC62B0E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B1</w:t>
      </w:r>
      <w:sdt>
        <w:sdtPr>
          <w:rPr>
            <w:sz w:val="24"/>
            <w:szCs w:val="24"/>
            <w:highlight w:val="lightGray"/>
            <w:lang w:val="en-GB"/>
          </w:rPr>
          <w:id w:val="-1546511926"/>
          <w:placeholder>
            <w:docPart w:val="7EED63BBDB2B45DD82109D9E2A2D2D7E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B2</w:t>
      </w:r>
      <w:sdt>
        <w:sdtPr>
          <w:rPr>
            <w:sz w:val="24"/>
            <w:szCs w:val="24"/>
            <w:highlight w:val="lightGray"/>
            <w:lang w:val="en-GB"/>
          </w:rPr>
          <w:id w:val="-2122366244"/>
          <w:placeholder>
            <w:docPart w:val="51D73D7C7A6F48AD93345FC6BFDB873C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C1</w:t>
      </w:r>
      <w:sdt>
        <w:sdtPr>
          <w:rPr>
            <w:sz w:val="24"/>
            <w:szCs w:val="24"/>
            <w:highlight w:val="lightGray"/>
            <w:lang w:val="en-GB"/>
          </w:rPr>
          <w:id w:val="1323693301"/>
          <w:placeholder>
            <w:docPart w:val="961763B86C3C421BB2E77B5F7E535DDD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C2</w:t>
      </w:r>
      <w:sdt>
        <w:sdtPr>
          <w:rPr>
            <w:sz w:val="24"/>
            <w:szCs w:val="24"/>
            <w:highlight w:val="lightGray"/>
            <w:lang w:val="en-GB"/>
          </w:rPr>
          <w:id w:val="699128337"/>
          <w:placeholder>
            <w:docPart w:val="6D8DE2DE2D4343588EA40DA42D7C0030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lang w:val="pl-PL"/>
        </w:rPr>
        <w:t xml:space="preserve"> lub zobowiązuje się osiągnąć taki poziom jego znajomości przed rozpoczęciem mobilności.</w:t>
      </w:r>
      <w:r w:rsidR="00DC3301" w:rsidRPr="00DC3301">
        <w:rPr>
          <w:color w:val="00B050"/>
          <w:sz w:val="24"/>
          <w:szCs w:val="24"/>
          <w:lang w:val="pl-PL"/>
        </w:rPr>
        <w:t>]</w:t>
      </w:r>
    </w:p>
    <w:p w14:paraId="686A42C6" w14:textId="77777777" w:rsidR="00E82961" w:rsidRPr="0074440F" w:rsidRDefault="00E82961" w:rsidP="00A840BB">
      <w:pPr>
        <w:ind w:left="720" w:hanging="720"/>
        <w:jc w:val="both"/>
        <w:rPr>
          <w:sz w:val="24"/>
          <w:szCs w:val="24"/>
          <w:lang w:val="pl-PL"/>
        </w:rPr>
      </w:pPr>
    </w:p>
    <w:p w14:paraId="618A08BB" w14:textId="7FAC39EC" w:rsidR="00C94FBE" w:rsidRPr="00C94FBE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9</w:t>
      </w:r>
      <w:r w:rsidRPr="00C94FBE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3753BE" w14:textId="4008EC43" w:rsidR="005657EF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.1.</w:t>
      </w:r>
      <w:r w:rsidR="00E82961">
        <w:tab/>
      </w:r>
      <w:r w:rsidR="53B82C94" w:rsidRPr="2031D444">
        <w:rPr>
          <w:sz w:val="24"/>
          <w:szCs w:val="24"/>
          <w:lang w:val="pl-PL"/>
        </w:rPr>
        <w:t>Uczestnik wypełni i złoży on-line indywidualny raport z mobilności (</w:t>
      </w:r>
      <w:r w:rsidR="53B82C94" w:rsidRPr="2031D444">
        <w:rPr>
          <w:i/>
          <w:iCs/>
          <w:sz w:val="24"/>
          <w:szCs w:val="24"/>
          <w:lang w:val="pl-PL"/>
        </w:rPr>
        <w:t>on-line EUSurvey</w:t>
      </w:r>
      <w:r w:rsidR="53B82C94" w:rsidRPr="2031D444">
        <w:rPr>
          <w:sz w:val="24"/>
          <w:szCs w:val="24"/>
          <w:lang w:val="pl-PL"/>
        </w:rPr>
        <w:t xml:space="preserve">) w terminie </w:t>
      </w:r>
      <w:r w:rsidR="53B82C94" w:rsidRPr="00AE773E">
        <w:rPr>
          <w:sz w:val="24"/>
          <w:szCs w:val="24"/>
          <w:lang w:val="pl-PL"/>
        </w:rPr>
        <w:t>30</w:t>
      </w:r>
      <w:r w:rsidR="53B82C94" w:rsidRPr="2031D444">
        <w:rPr>
          <w:sz w:val="24"/>
          <w:szCs w:val="24"/>
          <w:lang w:val="pl-PL"/>
        </w:rPr>
        <w:t xml:space="preserve"> dni kalendarzowych od dnia otrzymania zaproszenia do jego wypełnienia. Uczestnik, który nie wypełni i nie złoży</w:t>
      </w:r>
      <w:r w:rsidR="3FC704DD" w:rsidRPr="2031D444">
        <w:rPr>
          <w:sz w:val="24"/>
          <w:szCs w:val="24"/>
          <w:lang w:val="pl-PL"/>
        </w:rPr>
        <w:t xml:space="preserve"> </w:t>
      </w:r>
      <w:r w:rsidR="53B82C94" w:rsidRPr="2031D444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>
        <w:rPr>
          <w:sz w:val="24"/>
          <w:szCs w:val="24"/>
          <w:lang w:val="pl-PL"/>
        </w:rPr>
        <w:t>.</w:t>
      </w:r>
      <w:r w:rsidR="53B82C94" w:rsidRPr="2031D444">
        <w:rPr>
          <w:sz w:val="24"/>
          <w:szCs w:val="24"/>
          <w:lang w:val="pl-PL"/>
        </w:rPr>
        <w:t xml:space="preserve"> </w:t>
      </w:r>
      <w:r w:rsidR="3FC704DD" w:rsidRPr="2031D444">
        <w:rPr>
          <w:color w:val="00B050"/>
          <w:sz w:val="24"/>
          <w:szCs w:val="24"/>
          <w:lang w:val="pl-PL"/>
        </w:rPr>
        <w:t xml:space="preserve">[Opcja dotycząca tylko </w:t>
      </w:r>
      <w:r w:rsidR="00541358">
        <w:rPr>
          <w:color w:val="00B050"/>
          <w:sz w:val="24"/>
          <w:szCs w:val="24"/>
          <w:lang w:val="pl-PL"/>
        </w:rPr>
        <w:t>mobilności w celu zrealizowania części studiów</w:t>
      </w:r>
    </w:p>
    <w:p w14:paraId="03C9B60A" w14:textId="4E5DC032" w:rsidR="00C94FBE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.2</w:t>
      </w:r>
      <w:r w:rsidR="00C94FBE">
        <w:tab/>
      </w:r>
      <w:r w:rsidR="53B82C94" w:rsidRPr="2031D444">
        <w:rPr>
          <w:sz w:val="24"/>
          <w:szCs w:val="24"/>
          <w:lang w:val="pl-PL"/>
        </w:rPr>
        <w:t xml:space="preserve">Do Uczestnika może być wysłany uzupełniający raport </w:t>
      </w:r>
      <w:r w:rsidR="0885B40F" w:rsidRPr="2031D444">
        <w:rPr>
          <w:sz w:val="24"/>
          <w:szCs w:val="24"/>
          <w:lang w:val="pl-PL"/>
        </w:rPr>
        <w:t xml:space="preserve">on-line </w:t>
      </w:r>
      <w:r w:rsidR="53B82C94" w:rsidRPr="2031D444">
        <w:rPr>
          <w:sz w:val="24"/>
          <w:szCs w:val="24"/>
          <w:lang w:val="pl-PL"/>
        </w:rPr>
        <w:t>dotyczący kwestii uznawalności.</w:t>
      </w:r>
      <w:r w:rsidR="3FC704DD" w:rsidRPr="2031D444">
        <w:rPr>
          <w:color w:val="00B050"/>
          <w:sz w:val="24"/>
          <w:szCs w:val="24"/>
          <w:lang w:val="pl-PL"/>
        </w:rPr>
        <w:t>]</w:t>
      </w:r>
    </w:p>
    <w:p w14:paraId="4A91DEC0" w14:textId="77777777" w:rsidR="007D2907" w:rsidRPr="0074440F" w:rsidRDefault="007D2907" w:rsidP="00A840BB">
      <w:pPr>
        <w:jc w:val="both"/>
        <w:rPr>
          <w:b/>
          <w:lang w:val="pl-PL"/>
        </w:rPr>
      </w:pPr>
    </w:p>
    <w:p w14:paraId="326FB9CB" w14:textId="7DA31D65" w:rsidR="00EF454D" w:rsidRPr="00456AF0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0" w:name="_Hlk167797545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10</w:t>
      </w:r>
      <w:r>
        <w:rPr>
          <w:b/>
          <w:bCs/>
          <w:sz w:val="24"/>
          <w:szCs w:val="24"/>
          <w:lang w:val="pl-PL"/>
        </w:rPr>
        <w:t xml:space="preserve"> -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bookmarkEnd w:id="0"/>
    <w:p w14:paraId="033777E4" w14:textId="5C3AA4EA" w:rsidR="00EF454D" w:rsidRPr="00456AF0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.1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Działanie związane z mobilnością musi być prowadzone zgodnie z najwyższymi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 unijnym, międzynarodowym i krajowym prawem dotyczącym zasad etycznych.</w:t>
      </w:r>
    </w:p>
    <w:p w14:paraId="01FF22D3" w14:textId="5A337997" w:rsidR="00EF454D" w:rsidRPr="00456AF0" w:rsidRDefault="00E82961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Uczestnik musi zobowiązać się i zapewnić poszanowanie podstawowych wartości UE (takich jak poszanowanie godności ludzkiej, wolności, demokracji, równości, praworządności i praw człowieka, w tym praw mniejszości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33E7A696" w14:textId="7D81ACFA" w:rsidR="00EF454D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.3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="00CB4A7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7C3210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2D5F08C" w:rsidR="00EF454D" w:rsidRPr="00E54042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CB4A7D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7E20EA9F" w14:textId="6DF28640" w:rsidR="1058A4B7" w:rsidRPr="0074440F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1019DF31">
        <w:rPr>
          <w:rStyle w:val="y2iqfc"/>
          <w:sz w:val="24"/>
          <w:szCs w:val="24"/>
          <w:lang w:val="pl-PL"/>
        </w:rPr>
        <w:t>1</w:t>
      </w:r>
      <w:r w:rsidR="00CB4A7D" w:rsidRPr="1019DF31">
        <w:rPr>
          <w:rStyle w:val="y2iqfc"/>
          <w:sz w:val="24"/>
          <w:szCs w:val="24"/>
          <w:lang w:val="pl-PL"/>
        </w:rPr>
        <w:t>1</w:t>
      </w:r>
      <w:r w:rsidRPr="1019DF31">
        <w:rPr>
          <w:rStyle w:val="y2iqfc"/>
          <w:sz w:val="24"/>
          <w:szCs w:val="24"/>
          <w:lang w:val="pl-PL"/>
        </w:rPr>
        <w:t xml:space="preserve">.1 </w:t>
      </w:r>
      <w:r w:rsidRPr="00456AF0">
        <w:rPr>
          <w:rStyle w:val="y2iqfc"/>
          <w:sz w:val="24"/>
          <w:szCs w:val="24"/>
        </w:rPr>
        <w:tab/>
      </w:r>
      <w:r w:rsidR="1058A4B7" w:rsidRPr="0074440F">
        <w:rPr>
          <w:sz w:val="24"/>
          <w:szCs w:val="24"/>
          <w:lang w:val="pl-PL"/>
        </w:rPr>
        <w:t xml:space="preserve">Wszelkie dane osobowe w ramach </w:t>
      </w:r>
      <w:r w:rsidR="004462B2">
        <w:rPr>
          <w:sz w:val="24"/>
          <w:szCs w:val="24"/>
          <w:lang w:val="pl-PL"/>
        </w:rPr>
        <w:t>U</w:t>
      </w:r>
      <w:r w:rsidR="1058A4B7" w:rsidRPr="0074440F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="1058A4B7" w:rsidRPr="1019DF31">
        <w:rPr>
          <w:rStyle w:val="Odwoanieprzypisudolnego"/>
          <w:sz w:val="24"/>
          <w:szCs w:val="24"/>
          <w:lang w:val="en-GB"/>
        </w:rPr>
        <w:footnoteReference w:id="3"/>
      </w:r>
      <w:r w:rsidR="1058A4B7" w:rsidRPr="0074440F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74440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74440F">
        <w:rPr>
          <w:sz w:val="24"/>
          <w:szCs w:val="24"/>
          <w:lang w:val="pl-PL"/>
        </w:rPr>
        <w:t xml:space="preserve">. </w:t>
      </w:r>
    </w:p>
    <w:p w14:paraId="0B50CBD5" w14:textId="5021B57D" w:rsidR="00EF454D" w:rsidRPr="0074440F" w:rsidRDefault="00EF454D" w:rsidP="000161CA">
      <w:pPr>
        <w:tabs>
          <w:tab w:val="left" w:pos="851"/>
        </w:tabs>
        <w:ind w:left="709" w:hanging="709"/>
        <w:jc w:val="both"/>
        <w:rPr>
          <w:color w:val="FF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CB4A7D" w:rsidRPr="1019DF31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 xml:space="preserve">.2 </w:t>
      </w:r>
      <w:r w:rsidR="000161CA">
        <w:rPr>
          <w:sz w:val="24"/>
          <w:szCs w:val="24"/>
          <w:lang w:val="pl-PL"/>
        </w:rPr>
        <w:t xml:space="preserve">    </w:t>
      </w:r>
      <w:r w:rsidR="009A20DE" w:rsidRPr="1019DF31">
        <w:rPr>
          <w:sz w:val="24"/>
          <w:szCs w:val="24"/>
          <w:lang w:val="pl-PL"/>
        </w:rPr>
        <w:t xml:space="preserve">Dane, o których mowa w art. 11.1, </w:t>
      </w:r>
      <w:r w:rsidRPr="00456AF0">
        <w:rPr>
          <w:sz w:val="24"/>
          <w:szCs w:val="24"/>
          <w:lang w:val="pl-PL"/>
        </w:rPr>
        <w:t xml:space="preserve">będą przetwarzane wyłącznie w związku z realizacją </w:t>
      </w:r>
      <w:r w:rsidR="000161CA">
        <w:rPr>
          <w:sz w:val="24"/>
          <w:szCs w:val="24"/>
          <w:lang w:val="pl-PL"/>
        </w:rPr>
        <w:t xml:space="preserve"> </w:t>
      </w:r>
      <w:r w:rsidR="004462B2">
        <w:rPr>
          <w:sz w:val="24"/>
          <w:szCs w:val="24"/>
          <w:lang w:val="pl-PL"/>
        </w:rPr>
        <w:t>U</w:t>
      </w:r>
      <w:r w:rsidRPr="00456AF0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 w:rsidR="006335FE"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 xml:space="preserve">arodową i Komisję Europejską z uwzględnieniem konieczności przekazywania danych odpowiednim służbom odpowiedzialnym za kontrole i audyt </w:t>
      </w:r>
      <w:r w:rsidRPr="00456AF0">
        <w:rPr>
          <w:sz w:val="24"/>
          <w:szCs w:val="24"/>
          <w:lang w:val="pl-PL"/>
        </w:rPr>
        <w:lastRenderedPageBreak/>
        <w:t>zgodnie z przepisami UE</w:t>
      </w:r>
      <w:r w:rsidRPr="1019DF31">
        <w:rPr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35A8558A" w14:textId="7C2D7948" w:rsidR="00EF454D" w:rsidRDefault="00CB4A7D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11.3. </w:t>
      </w:r>
      <w:r w:rsidR="000161CA">
        <w:rPr>
          <w:sz w:val="24"/>
          <w:szCs w:val="24"/>
          <w:lang w:val="pl-PL"/>
        </w:rPr>
        <w:t xml:space="preserve">  </w:t>
      </w:r>
      <w:r w:rsidR="00EF454D" w:rsidRPr="00456AF0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>
        <w:rPr>
          <w:sz w:val="24"/>
          <w:szCs w:val="24"/>
          <w:lang w:val="pl-PL"/>
        </w:rPr>
        <w:t>a</w:t>
      </w:r>
      <w:r w:rsidR="00EF454D" w:rsidRPr="00456AF0">
        <w:rPr>
          <w:sz w:val="24"/>
          <w:szCs w:val="24"/>
          <w:lang w:val="pl-PL"/>
        </w:rPr>
        <w:t xml:space="preserve">gencji </w:t>
      </w:r>
      <w:r w:rsidR="006335FE">
        <w:rPr>
          <w:sz w:val="24"/>
          <w:szCs w:val="24"/>
          <w:lang w:val="pl-PL"/>
        </w:rPr>
        <w:t>n</w:t>
      </w:r>
      <w:r w:rsidR="00EF454D" w:rsidRPr="00456AF0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029C7C1B" w14:textId="77777777" w:rsidR="000161CA" w:rsidRDefault="000161CA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</w:p>
    <w:p w14:paraId="53F9BC21" w14:textId="77777777" w:rsidR="000161CA" w:rsidRDefault="000161CA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</w:p>
    <w:p w14:paraId="37196953" w14:textId="77777777" w:rsidR="00CB4A7D" w:rsidRPr="0074440F" w:rsidRDefault="00CB4A7D" w:rsidP="00A840BB">
      <w:pPr>
        <w:tabs>
          <w:tab w:val="left" w:pos="567"/>
        </w:tabs>
        <w:ind w:left="567" w:hanging="567"/>
        <w:jc w:val="both"/>
        <w:rPr>
          <w:color w:val="FF0000"/>
          <w:sz w:val="24"/>
          <w:szCs w:val="24"/>
          <w:lang w:val="pl-PL"/>
        </w:rPr>
      </w:pPr>
    </w:p>
    <w:p w14:paraId="05DE71E1" w14:textId="7792C8A6" w:rsidR="009A20DE" w:rsidRPr="006335FE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1" w:name="_Hlk137640256"/>
      <w:r w:rsidRPr="006335FE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2</w:t>
      </w:r>
      <w:r w:rsidRPr="006335FE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1A48FBF4" w:rsidR="009A20DE" w:rsidRPr="009A20DE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12.1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Umowa może zostać zawieszona z inicjatywy </w:t>
      </w:r>
      <w:r w:rsidR="00541358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 xml:space="preserve">czestnika lub </w:t>
      </w:r>
      <w:r w:rsidR="00541358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>
        <w:rPr>
          <w:sz w:val="24"/>
          <w:szCs w:val="24"/>
          <w:lang w:val="pl-PL"/>
        </w:rPr>
        <w:t xml:space="preserve"> staje się skuteczne </w:t>
      </w:r>
      <w:r w:rsidRPr="009A20DE">
        <w:rPr>
          <w:sz w:val="24"/>
          <w:szCs w:val="24"/>
          <w:lang w:val="pl-PL"/>
        </w:rPr>
        <w:t xml:space="preserve">w dniu </w:t>
      </w:r>
      <w:r w:rsidR="00365D94">
        <w:rPr>
          <w:sz w:val="24"/>
          <w:szCs w:val="24"/>
          <w:lang w:val="pl-PL"/>
        </w:rPr>
        <w:t>ustalonym przez strony</w:t>
      </w:r>
      <w:r w:rsidRPr="009A20DE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F8AC48C" w14:textId="55286E22" w:rsidR="005D7DDE" w:rsidRDefault="008208DF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12.2.</w:t>
      </w:r>
      <w:r>
        <w:rPr>
          <w:sz w:val="24"/>
          <w:szCs w:val="24"/>
          <w:lang w:val="pl-PL"/>
        </w:rPr>
        <w:tab/>
      </w:r>
      <w:r w:rsidR="006335FE">
        <w:rPr>
          <w:sz w:val="24"/>
          <w:szCs w:val="24"/>
          <w:lang w:val="pl-PL"/>
        </w:rPr>
        <w:t xml:space="preserve">   </w:t>
      </w:r>
      <w:r w:rsidR="00541358">
        <w:rPr>
          <w:sz w:val="24"/>
          <w:szCs w:val="24"/>
          <w:lang w:val="pl-PL"/>
        </w:rPr>
        <w:t>Instytucja</w:t>
      </w:r>
      <w:r w:rsidR="005D7DDE" w:rsidRPr="005D7DDE">
        <w:rPr>
          <w:sz w:val="24"/>
          <w:szCs w:val="24"/>
          <w:lang w:val="pl-PL"/>
        </w:rPr>
        <w:t xml:space="preserve"> może - w dowolnym momencie - zawiesić </w:t>
      </w:r>
      <w:r w:rsidR="006335FE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 xml:space="preserve">mowę, jeżeli </w:t>
      </w:r>
      <w:r w:rsidR="004462B2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>czestnik popełnił lub jest podejrzewany o popełnienie</w:t>
      </w:r>
      <w:r w:rsidR="006335FE">
        <w:rPr>
          <w:sz w:val="24"/>
          <w:szCs w:val="24"/>
          <w:lang w:val="pl-PL"/>
        </w:rPr>
        <w:t>:</w:t>
      </w:r>
    </w:p>
    <w:p w14:paraId="17805FF4" w14:textId="28A8E3C5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a) istotnych błędów, nieprawidłowości lub oszustwa lub</w:t>
      </w:r>
    </w:p>
    <w:p w14:paraId="65BAECF9" w14:textId="0B15E280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1019DF31">
        <w:rPr>
          <w:sz w:val="24"/>
          <w:szCs w:val="24"/>
          <w:lang w:val="pl-PL"/>
        </w:rPr>
        <w:t xml:space="preserve">b) poważnego naruszenia </w:t>
      </w:r>
      <w:r w:rsidR="2C450BFB" w:rsidRPr="1019DF31">
        <w:rPr>
          <w:sz w:val="24"/>
          <w:szCs w:val="24"/>
          <w:lang w:val="pl-PL"/>
        </w:rPr>
        <w:t>zobowiązań</w:t>
      </w:r>
      <w:r w:rsidRPr="1019DF31">
        <w:rPr>
          <w:sz w:val="24"/>
          <w:szCs w:val="24"/>
          <w:lang w:val="pl-PL"/>
        </w:rPr>
        <w:t xml:space="preserve"> wynikających z niniejszej </w:t>
      </w:r>
      <w:r w:rsidR="006335FE">
        <w:rPr>
          <w:sz w:val="24"/>
          <w:szCs w:val="24"/>
          <w:lang w:val="pl-PL"/>
        </w:rPr>
        <w:t>U</w:t>
      </w:r>
      <w:r w:rsidRPr="1019DF31">
        <w:rPr>
          <w:sz w:val="24"/>
          <w:szCs w:val="24"/>
          <w:lang w:val="pl-PL"/>
        </w:rPr>
        <w:t>mowy lub w trakcie jej obowiązywania (w tym niewłaściwej realizacji działania, przedłożenia nieprawdziwych informacji, nieprzekazania wymaganych informacji, naruszenia zasad etyki (jeśli dotyczy) it</w:t>
      </w:r>
      <w:r w:rsidR="00734C26">
        <w:rPr>
          <w:sz w:val="24"/>
          <w:szCs w:val="24"/>
          <w:lang w:val="pl-PL"/>
        </w:rPr>
        <w:t>p</w:t>
      </w:r>
      <w:r w:rsidRPr="1019DF31">
        <w:rPr>
          <w:sz w:val="24"/>
          <w:szCs w:val="24"/>
          <w:lang w:val="pl-PL"/>
        </w:rPr>
        <w:t>.</w:t>
      </w:r>
    </w:p>
    <w:p w14:paraId="11E94654" w14:textId="36747B33" w:rsidR="009A20DE" w:rsidRDefault="009A20DE" w:rsidP="006335FE">
      <w:pPr>
        <w:pBdr>
          <w:bottom w:val="single" w:sz="6" w:space="1" w:color="auto"/>
        </w:pBd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12.3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2B1B98A8" w:rsidR="005D7DDE" w:rsidRPr="009A20DE" w:rsidRDefault="005D7DDE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12.4. </w:t>
      </w:r>
      <w:r w:rsidR="006335FE">
        <w:rPr>
          <w:sz w:val="24"/>
          <w:szCs w:val="24"/>
          <w:lang w:val="pl-PL"/>
        </w:rPr>
        <w:t xml:space="preserve">   </w:t>
      </w:r>
      <w:r w:rsidR="00734C26" w:rsidRPr="00734C26">
        <w:rPr>
          <w:sz w:val="24"/>
          <w:szCs w:val="24"/>
          <w:lang w:val="pl-PL"/>
        </w:rPr>
        <w:t>Podczas zawieszenia uczestnikowi nie będzie wypłacane żadne wsparcie finansowe.</w:t>
      </w:r>
      <w:r>
        <w:rPr>
          <w:sz w:val="24"/>
          <w:szCs w:val="24"/>
          <w:lang w:val="pl-PL"/>
        </w:rPr>
        <w:t xml:space="preserve"> </w:t>
      </w:r>
    </w:p>
    <w:p w14:paraId="36EBDE80" w14:textId="28A39B7E" w:rsidR="009A20DE" w:rsidRPr="009A20DE" w:rsidRDefault="009A20DE" w:rsidP="00A840BB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12.5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>
        <w:rPr>
          <w:sz w:val="24"/>
          <w:szCs w:val="24"/>
          <w:lang w:val="pl-PL"/>
        </w:rPr>
        <w:t>Instytucję</w:t>
      </w:r>
      <w:r w:rsidRPr="009A20DE">
        <w:rPr>
          <w:sz w:val="24"/>
          <w:szCs w:val="24"/>
          <w:lang w:val="pl-PL"/>
        </w:rPr>
        <w:t>.</w:t>
      </w:r>
    </w:p>
    <w:p w14:paraId="37938AF5" w14:textId="51E709D5" w:rsidR="009A20DE" w:rsidRPr="009A20DE" w:rsidRDefault="009A20DE" w:rsidP="00A840BB">
      <w:p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12.6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Zawieszenie nie wpływa na prawo </w:t>
      </w:r>
      <w:r w:rsidR="00734C26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 xml:space="preserve"> do rozwiązania </w:t>
      </w:r>
      <w:r w:rsidR="006335FE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>mowy (</w:t>
      </w:r>
      <w:r w:rsidR="005D7DDE">
        <w:rPr>
          <w:sz w:val="24"/>
          <w:szCs w:val="24"/>
          <w:lang w:val="pl-PL"/>
        </w:rPr>
        <w:t xml:space="preserve">zob. art. </w:t>
      </w:r>
      <w:r w:rsidRPr="009A20DE">
        <w:rPr>
          <w:sz w:val="24"/>
          <w:szCs w:val="24"/>
          <w:lang w:val="pl-PL"/>
        </w:rPr>
        <w:t>13).</w:t>
      </w:r>
    </w:p>
    <w:p w14:paraId="236BCDBC" w14:textId="77777777" w:rsidR="009A20DE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277CE2D0" w:rsidR="00EF454D" w:rsidRPr="00941E7A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13 </w:t>
      </w:r>
      <w:r w:rsidR="00EF454D" w:rsidRPr="00941E7A">
        <w:rPr>
          <w:b/>
          <w:bCs/>
          <w:sz w:val="24"/>
          <w:szCs w:val="24"/>
          <w:lang w:val="pl-PL"/>
        </w:rPr>
        <w:t xml:space="preserve">– </w:t>
      </w:r>
      <w:r w:rsidR="00EF454D">
        <w:rPr>
          <w:b/>
          <w:bCs/>
          <w:sz w:val="24"/>
          <w:szCs w:val="24"/>
          <w:lang w:val="pl-PL"/>
        </w:rPr>
        <w:t>ROZWIĄZANIE UMOWY</w:t>
      </w:r>
      <w:r w:rsidR="00EF454D" w:rsidRPr="00941E7A">
        <w:rPr>
          <w:b/>
          <w:bCs/>
          <w:sz w:val="24"/>
          <w:szCs w:val="24"/>
          <w:lang w:val="pl-PL"/>
        </w:rPr>
        <w:t xml:space="preserve">  </w:t>
      </w:r>
    </w:p>
    <w:bookmarkEnd w:id="1"/>
    <w:p w14:paraId="53A72518" w14:textId="7FE811EE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13.1 Umowa może zostać rozwiązana przez każdą ze stron w przypadku zaistnienia okoliczności, które sprawiają, że wykonanie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278752D9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13.2 W przypadku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z powodu działania siły wyższej (</w:t>
      </w:r>
      <w:r>
        <w:rPr>
          <w:rStyle w:val="y2iqfc"/>
          <w:sz w:val="24"/>
          <w:szCs w:val="24"/>
        </w:rPr>
        <w:t>art.</w:t>
      </w:r>
      <w:r w:rsidRPr="00E115D6">
        <w:rPr>
          <w:rStyle w:val="y2iqfc"/>
          <w:sz w:val="24"/>
          <w:szCs w:val="24"/>
        </w:rPr>
        <w:t xml:space="preserve"> 16),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 będzie uprawniony do otrzymania co najmniej kwoty dofinansowania odpowiadającej rzeczywistemu okresowi trwania mobilności. Wszelkie pozostałe środki będą musiały zostać zwrócone.</w:t>
      </w:r>
    </w:p>
    <w:p w14:paraId="11B149D2" w14:textId="54764AA1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13.3 W przypadku poważnego naruszenia zobowiązań lub jeśli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 dopuścił się nieprawidłowości, oszustwa, korupcji lub jest zaangażowany w organizację przestępczą, pranie pieniędzy, przestępstwa związane z terroryzmem (w tym finansowanie terroryzmu), pracę dzieci lub handel ludźmi,</w:t>
      </w:r>
      <w:r w:rsidR="00734C26">
        <w:rPr>
          <w:rStyle w:val="y2iqfc"/>
          <w:sz w:val="24"/>
          <w:szCs w:val="24"/>
        </w:rPr>
        <w:t xml:space="preserve"> Instytucja</w:t>
      </w:r>
      <w:r w:rsidRPr="00E115D6">
        <w:rPr>
          <w:rStyle w:val="y2iqfc"/>
          <w:sz w:val="24"/>
          <w:szCs w:val="24"/>
        </w:rPr>
        <w:t xml:space="preserve"> może rozwiązać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mowę poprzez formalne powiadomienie drugiej strony.</w:t>
      </w:r>
    </w:p>
    <w:p w14:paraId="5969BE53" w14:textId="5919F6C7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13.4 </w:t>
      </w:r>
      <w:r w:rsidR="00734C26">
        <w:rPr>
          <w:rStyle w:val="y2iqfc"/>
          <w:sz w:val="24"/>
          <w:szCs w:val="24"/>
        </w:rPr>
        <w:t>Instytucja</w:t>
      </w:r>
      <w:r w:rsidRPr="00E115D6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czestnika listem poleconym.</w:t>
      </w:r>
    </w:p>
    <w:p w14:paraId="48B76977" w14:textId="7890923A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13.5 Rozwiązanie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wejdzie w życie w dniu określonym w powiadomieniu; "data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mowy".</w:t>
      </w:r>
    </w:p>
    <w:p w14:paraId="3AC9FDA6" w14:textId="5D46C0D1" w:rsidR="00E115D6" w:rsidRPr="00941E7A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13.6 Uczestnik nie może domagać się odszkodowania z tytułu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przez </w:t>
      </w:r>
      <w:r w:rsidR="00734C26">
        <w:rPr>
          <w:rStyle w:val="y2iqfc"/>
          <w:sz w:val="24"/>
          <w:szCs w:val="24"/>
        </w:rPr>
        <w:t>Instytucję</w:t>
      </w:r>
      <w:r w:rsidRPr="00E115D6">
        <w:rPr>
          <w:rStyle w:val="y2iqfc"/>
          <w:sz w:val="24"/>
          <w:szCs w:val="24"/>
        </w:rPr>
        <w:t>.</w:t>
      </w:r>
    </w:p>
    <w:p w14:paraId="30AAAA23" w14:textId="77777777" w:rsidR="00EF454D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7E5FF49A" w:rsidR="00EF454D" w:rsidRPr="00E54042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E115D6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2A6D5AC7" w14:textId="45F6EE5B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lastRenderedPageBreak/>
        <w:t>1</w:t>
      </w:r>
      <w:r w:rsidR="00E115D6" w:rsidRPr="0074440F">
        <w:rPr>
          <w:sz w:val="24"/>
          <w:szCs w:val="24"/>
          <w:lang w:val="pl-PL"/>
        </w:rPr>
        <w:t>4</w:t>
      </w:r>
      <w:r w:rsidRPr="0074440F">
        <w:rPr>
          <w:sz w:val="24"/>
          <w:szCs w:val="24"/>
          <w:lang w:val="pl-PL"/>
        </w:rPr>
        <w:t>.1</w:t>
      </w:r>
      <w:r w:rsidRPr="0074440F">
        <w:rPr>
          <w:sz w:val="24"/>
          <w:szCs w:val="24"/>
          <w:lang w:val="pl-PL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 w:rsidR="00734C26"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>
        <w:rPr>
          <w:sz w:val="24"/>
          <w:szCs w:val="24"/>
          <w:lang w:val="pl-PL"/>
        </w:rPr>
        <w:t xml:space="preserve">lub były </w:t>
      </w:r>
      <w:r w:rsidRPr="009C77A9">
        <w:rPr>
          <w:sz w:val="24"/>
          <w:szCs w:val="24"/>
          <w:lang w:val="pl-PL"/>
        </w:rPr>
        <w:t>realizowane we właściwy sposób.</w:t>
      </w:r>
    </w:p>
    <w:p w14:paraId="741EBB38" w14:textId="2FADC029" w:rsidR="00E115D6" w:rsidRPr="00E54042" w:rsidRDefault="00E115D6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14.2</w:t>
      </w:r>
      <w:r>
        <w:rPr>
          <w:sz w:val="24"/>
          <w:szCs w:val="24"/>
          <w:lang w:val="pl-PL"/>
        </w:rPr>
        <w:tab/>
      </w:r>
      <w:r w:rsidRPr="00E115D6">
        <w:rPr>
          <w:sz w:val="24"/>
          <w:szCs w:val="24"/>
          <w:lang w:val="pl-PL"/>
        </w:rPr>
        <w:t xml:space="preserve">Wszelkie </w:t>
      </w:r>
      <w:r w:rsidR="00107121">
        <w:rPr>
          <w:sz w:val="24"/>
          <w:szCs w:val="24"/>
          <w:lang w:val="pl-PL"/>
        </w:rPr>
        <w:t>nieprawidłowości</w:t>
      </w:r>
      <w:r w:rsidRPr="00E115D6">
        <w:rPr>
          <w:sz w:val="24"/>
          <w:szCs w:val="24"/>
          <w:lang w:val="pl-PL"/>
        </w:rPr>
        <w:t xml:space="preserve"> związane z </w:t>
      </w:r>
      <w:r w:rsidR="004462B2">
        <w:rPr>
          <w:sz w:val="24"/>
          <w:szCs w:val="24"/>
          <w:lang w:val="pl-PL"/>
        </w:rPr>
        <w:t>U</w:t>
      </w:r>
      <w:r w:rsidRPr="00E115D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74440F" w:rsidRDefault="00EF454D" w:rsidP="00A840BB">
      <w:pPr>
        <w:rPr>
          <w:lang w:val="pl-PL"/>
        </w:rPr>
      </w:pPr>
    </w:p>
    <w:p w14:paraId="7FB5D80A" w14:textId="0779994B" w:rsidR="00EF454D" w:rsidRPr="00E54042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5A3D34B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 xml:space="preserve">.1 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Każda ze stron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16A032CA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>.2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Polska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>
        <w:rPr>
          <w:sz w:val="24"/>
          <w:szCs w:val="24"/>
          <w:lang w:val="pl-PL"/>
        </w:rPr>
        <w:t>p</w:t>
      </w:r>
      <w:r w:rsidRPr="00E54042">
        <w:rPr>
          <w:sz w:val="24"/>
          <w:szCs w:val="24"/>
          <w:lang w:val="pl-PL"/>
        </w:rPr>
        <w:t xml:space="preserve">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78E195A0" w:rsidR="005F4BF3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5F4BF3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6</w:t>
      </w:r>
      <w:r w:rsidR="005F4BF3" w:rsidRPr="00E54042">
        <w:rPr>
          <w:b/>
          <w:bCs/>
          <w:sz w:val="24"/>
          <w:szCs w:val="24"/>
          <w:lang w:val="pl-PL"/>
        </w:rPr>
        <w:t xml:space="preserve"> – </w:t>
      </w:r>
      <w:r w:rsidR="005F4BF3">
        <w:rPr>
          <w:b/>
          <w:bCs/>
          <w:sz w:val="24"/>
          <w:szCs w:val="24"/>
          <w:lang w:val="pl-PL"/>
        </w:rPr>
        <w:t>SIŁ</w:t>
      </w:r>
      <w:r>
        <w:rPr>
          <w:b/>
          <w:bCs/>
          <w:sz w:val="24"/>
          <w:szCs w:val="24"/>
          <w:lang w:val="pl-PL"/>
        </w:rPr>
        <w:t>A</w:t>
      </w:r>
      <w:r w:rsidR="005F4BF3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AC938F7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16.1 </w:t>
      </w:r>
      <w:r w:rsidR="006B4A01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B0BF68C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16.2 </w:t>
      </w:r>
      <w:r w:rsidR="006B4A01"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>„</w:t>
      </w:r>
      <w:r w:rsidRPr="005F4BF3">
        <w:rPr>
          <w:sz w:val="24"/>
          <w:szCs w:val="24"/>
          <w:lang w:val="pl-PL"/>
        </w:rPr>
        <w:t>Siła wyższa</w:t>
      </w:r>
      <w:r w:rsidR="006335FE">
        <w:rPr>
          <w:sz w:val="24"/>
          <w:szCs w:val="24"/>
          <w:lang w:val="pl-PL"/>
        </w:rPr>
        <w:t>”</w:t>
      </w:r>
      <w:r w:rsidRPr="005F4BF3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nieprzewidywaln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>, wyjątkow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nie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okazał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się nieuniknion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77777777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16.3 Każda sytuacja stanowiąca siłę wyższą musi zostać niezwłocznie formalnie zgłoszona drugiej stronie, określając jej charakter, prawdopodobny czas trwania i przewidywalne skutki.</w:t>
      </w:r>
    </w:p>
    <w:p w14:paraId="27DA1429" w14:textId="3FC28909" w:rsidR="005F4BF3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16.4 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EF454D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7</w:t>
      </w:r>
      <w:r w:rsidR="00EF454D"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AA628A5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 xml:space="preserve">Niniejsza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mowa podlega prawu polskiemu.</w:t>
      </w:r>
    </w:p>
    <w:p w14:paraId="5B65AA88" w14:textId="50F8DBC5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E54042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18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WEJŚCIE W ŻYCIE</w:t>
      </w:r>
    </w:p>
    <w:p w14:paraId="664C1A9D" w14:textId="7AA45F2A" w:rsidR="00EF454D" w:rsidRPr="006B4A01" w:rsidRDefault="006B4A01" w:rsidP="00A840BB">
      <w:pPr>
        <w:jc w:val="both"/>
        <w:rPr>
          <w:bCs/>
          <w:sz w:val="24"/>
          <w:szCs w:val="24"/>
          <w:lang w:val="pl-PL"/>
        </w:rPr>
      </w:pPr>
      <w:r w:rsidRPr="006B4A01">
        <w:rPr>
          <w:bCs/>
          <w:sz w:val="24"/>
          <w:szCs w:val="24"/>
          <w:lang w:val="pl-PL"/>
        </w:rPr>
        <w:t>Umowa wchodzi w życie z datą podpisania przez ostatnią ze stron.</w:t>
      </w:r>
    </w:p>
    <w:p w14:paraId="10A5F8DE" w14:textId="77777777" w:rsidR="00EF454D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E54042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E54042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E54042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5C181FBA" w14:textId="77777777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highlight w:val="lightGray"/>
          <w:lang w:val="pl-PL"/>
        </w:rPr>
        <w:t>[imię i nazwisko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highlight w:val="lightGray"/>
          <w:lang w:val="pl-PL"/>
        </w:rPr>
        <w:t>[imię i nazwisko, stanowisko]</w:t>
      </w:r>
    </w:p>
    <w:p w14:paraId="24860FD1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6199852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EF561FF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</w:rPr>
      </w:pPr>
      <w:r w:rsidRPr="2E77DC53">
        <w:rPr>
          <w:sz w:val="24"/>
          <w:szCs w:val="24"/>
        </w:rPr>
        <w:t>[</w:t>
      </w:r>
      <w:r w:rsidRPr="2E77DC53">
        <w:rPr>
          <w:sz w:val="24"/>
          <w:szCs w:val="24"/>
          <w:highlight w:val="lightGray"/>
        </w:rPr>
        <w:t>podpis</w:t>
      </w:r>
      <w:r w:rsidRPr="2E77DC53">
        <w:rPr>
          <w:sz w:val="24"/>
          <w:szCs w:val="24"/>
        </w:rPr>
        <w:t>]</w:t>
      </w:r>
      <w:r>
        <w:tab/>
      </w:r>
      <w:r w:rsidRPr="2E77DC53">
        <w:rPr>
          <w:sz w:val="24"/>
          <w:szCs w:val="24"/>
        </w:rPr>
        <w:t>[</w:t>
      </w:r>
      <w:r w:rsidRPr="2E77DC53">
        <w:rPr>
          <w:sz w:val="24"/>
          <w:szCs w:val="24"/>
          <w:highlight w:val="lightGray"/>
        </w:rPr>
        <w:t>pieczęć i podpis</w:t>
      </w:r>
      <w:r w:rsidRPr="2E77DC53">
        <w:rPr>
          <w:sz w:val="24"/>
          <w:szCs w:val="24"/>
        </w:rPr>
        <w:t>]</w:t>
      </w:r>
    </w:p>
    <w:p w14:paraId="06BD562C" w14:textId="77777777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77B8904C" w:rsidR="00EF454D" w:rsidRPr="00F30AF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</w:p>
    <w:p w14:paraId="10C4982D" w14:textId="77777777" w:rsidR="00EF454D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74440F" w:rsidRDefault="008316D7" w:rsidP="00A840BB">
      <w:pPr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74440F" w:rsidRDefault="00EF454D" w:rsidP="00A840BB">
      <w:pPr>
        <w:tabs>
          <w:tab w:val="left" w:pos="5670"/>
        </w:tabs>
        <w:rPr>
          <w:sz w:val="16"/>
          <w:szCs w:val="16"/>
          <w:lang w:val="pl-PL"/>
        </w:rPr>
      </w:pPr>
      <w:r w:rsidRPr="0074440F">
        <w:rPr>
          <w:b/>
          <w:bCs/>
          <w:sz w:val="24"/>
          <w:szCs w:val="24"/>
          <w:lang w:val="pl-PL"/>
        </w:rPr>
        <w:lastRenderedPageBreak/>
        <w:t>Załącznik 1</w:t>
      </w:r>
    </w:p>
    <w:p w14:paraId="2926B22D" w14:textId="693E1447" w:rsidR="00137EB2" w:rsidRPr="0074440F" w:rsidRDefault="00EF454D" w:rsidP="00A840BB">
      <w:pPr>
        <w:tabs>
          <w:tab w:val="left" w:pos="5670"/>
        </w:tabs>
        <w:jc w:val="center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[</w:t>
      </w:r>
      <w:r w:rsidRPr="0074440F">
        <w:rPr>
          <w:sz w:val="24"/>
          <w:szCs w:val="24"/>
          <w:highlight w:val="yellow"/>
          <w:lang w:val="pl-PL"/>
        </w:rPr>
        <w:t>KA1 – Szkolnictwo Wyższe wybrać właściwe</w:t>
      </w:r>
      <w:r w:rsidRPr="0074440F">
        <w:rPr>
          <w:sz w:val="24"/>
          <w:szCs w:val="24"/>
          <w:lang w:val="pl-PL"/>
        </w:rPr>
        <w:t>]</w:t>
      </w:r>
    </w:p>
    <w:p w14:paraId="22139903" w14:textId="66EB6F7D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>
        <w:rPr>
          <w:sz w:val="24"/>
          <w:szCs w:val="24"/>
          <w:highlight w:val="lightGray"/>
          <w:lang w:val="pl-PL"/>
        </w:rPr>
        <w:t>[</w:t>
      </w:r>
      <w:r w:rsidRPr="00EF454D">
        <w:rPr>
          <w:sz w:val="24"/>
          <w:szCs w:val="24"/>
          <w:highlight w:val="lightGray"/>
          <w:lang w:val="pl-PL"/>
        </w:rPr>
        <w:t>„Porozumienie o programie studiów w programie Erasmus+”</w:t>
      </w:r>
    </w:p>
    <w:p w14:paraId="781A5FBF" w14:textId="623A5269" w:rsidR="00EF454D" w:rsidRPr="00A372C9" w:rsidRDefault="00EF454D" w:rsidP="00A372C9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praktyki w programie Erasmus+”</w:t>
      </w:r>
      <w:r w:rsidR="00F30AF8" w:rsidRPr="00F30AF8">
        <w:rPr>
          <w:sz w:val="24"/>
          <w:szCs w:val="24"/>
          <w:highlight w:val="lightGray"/>
          <w:lang w:val="pl-PL"/>
        </w:rPr>
        <w:t>]</w:t>
      </w:r>
    </w:p>
    <w:p w14:paraId="4B945989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E57F62A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52B9386" w14:textId="54697E8A" w:rsidR="00F30AF8" w:rsidRDefault="007A2289" w:rsidP="00A840BB">
      <w:pPr>
        <w:tabs>
          <w:tab w:val="left" w:pos="1985"/>
          <w:tab w:val="left" w:pos="264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</w:p>
    <w:p w14:paraId="5FCFB081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77644CB1" w14:textId="77777777" w:rsidR="007A2289" w:rsidRDefault="007A2289" w:rsidP="00A840BB">
      <w:pPr>
        <w:tabs>
          <w:tab w:val="left" w:pos="1985"/>
        </w:tabs>
        <w:rPr>
          <w:sz w:val="24"/>
          <w:szCs w:val="24"/>
          <w:lang w:val="pl-PL"/>
        </w:rPr>
        <w:sectPr w:rsidR="007A2289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75CD7A28" w14:textId="77777777" w:rsidR="00F30AF8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2DDF" w14:textId="77777777" w:rsidR="00A317DA" w:rsidRDefault="00A317DA">
      <w:r>
        <w:separator/>
      </w:r>
    </w:p>
  </w:endnote>
  <w:endnote w:type="continuationSeparator" w:id="0">
    <w:p w14:paraId="7DAD1E2D" w14:textId="77777777" w:rsidR="00A317DA" w:rsidRDefault="00A317DA">
      <w:r>
        <w:continuationSeparator/>
      </w:r>
    </w:p>
  </w:endnote>
  <w:endnote w:type="continuationNotice" w:id="1">
    <w:p w14:paraId="3EA2BAD0" w14:textId="77777777" w:rsidR="00A317DA" w:rsidRDefault="00A31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39716E"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1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8DC98" w14:textId="77777777" w:rsidR="00A317DA" w:rsidRDefault="00A317DA">
      <w:r>
        <w:separator/>
      </w:r>
    </w:p>
  </w:footnote>
  <w:footnote w:type="continuationSeparator" w:id="0">
    <w:p w14:paraId="7638A00C" w14:textId="77777777" w:rsidR="00A317DA" w:rsidRDefault="00A317DA">
      <w:r>
        <w:continuationSeparator/>
      </w:r>
    </w:p>
  </w:footnote>
  <w:footnote w:type="continuationNotice" w:id="1">
    <w:p w14:paraId="2123F04A" w14:textId="77777777" w:rsidR="00A317DA" w:rsidRDefault="00A317DA"/>
  </w:footnote>
  <w:footnote w:id="2">
    <w:p w14:paraId="1D3B79C3" w14:textId="1A41331A" w:rsidR="00B9298F" w:rsidRPr="00AD6739" w:rsidRDefault="00B9298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>Erasmus Without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B9298F" w:rsidRPr="0074440F" w:rsidRDefault="00B9298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9D18" w14:textId="74D92705" w:rsidR="00C86544" w:rsidRPr="0074440F" w:rsidRDefault="00C86544" w:rsidP="2156E4C0">
    <w:pPr>
      <w:pStyle w:val="Nagwek"/>
      <w:rPr>
        <w:lang w:val="pl-PL"/>
      </w:rPr>
    </w:pP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Erasmus+ 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wzór umowy między beneficjentem a </w:t>
    </w:r>
    <w:r w:rsidR="004462B2">
      <w:rPr>
        <w:rFonts w:ascii="Arial Narrow" w:hAnsi="Arial Narrow" w:cs="Arial"/>
        <w:sz w:val="18"/>
        <w:szCs w:val="18"/>
        <w:u w:val="single"/>
        <w:lang w:val="pl-PL"/>
      </w:rPr>
      <w:t>U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>czestnikiem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(KA131 </w:t>
    </w:r>
    <w:r w:rsidR="00E56125" w:rsidRPr="0074440F">
      <w:rPr>
        <w:rFonts w:ascii="Arial Narrow" w:hAnsi="Arial Narrow" w:cs="Arial"/>
        <w:sz w:val="18"/>
        <w:szCs w:val="18"/>
        <w:u w:val="single"/>
        <w:lang w:val="pl-PL"/>
      </w:rPr>
      <w:t>i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KA171) – 202</w:t>
    </w:r>
    <w:r w:rsidR="004D13A5" w:rsidRPr="0074440F">
      <w:rPr>
        <w:rFonts w:ascii="Arial Narrow" w:hAnsi="Arial Narrow" w:cs="Arial"/>
        <w:sz w:val="18"/>
        <w:szCs w:val="18"/>
        <w:u w:val="single"/>
        <w:lang w:val="pl-PL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3"/>
  </w:num>
  <w:num w:numId="19">
    <w:abstractNumId w:val="10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B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1367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637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62AE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14FC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0EE6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3721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0661F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35C5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7DA"/>
    <w:rsid w:val="00A318B3"/>
    <w:rsid w:val="00A31F3A"/>
    <w:rsid w:val="00A32BA3"/>
    <w:rsid w:val="00A33FF2"/>
    <w:rsid w:val="00A34A4A"/>
    <w:rsid w:val="00A35C1C"/>
    <w:rsid w:val="00A372C9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26BE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9AB"/>
    <w:rsid w:val="00AF4F50"/>
    <w:rsid w:val="00AF6C50"/>
    <w:rsid w:val="00AF779E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71B3"/>
    <w:rsid w:val="00C41022"/>
    <w:rsid w:val="00C44455"/>
    <w:rsid w:val="00C560D5"/>
    <w:rsid w:val="00C57232"/>
    <w:rsid w:val="00C578B7"/>
    <w:rsid w:val="00C60964"/>
    <w:rsid w:val="00C64863"/>
    <w:rsid w:val="00C64F27"/>
    <w:rsid w:val="00C651CC"/>
    <w:rsid w:val="00C66367"/>
    <w:rsid w:val="00C66C89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4FD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256D9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2331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64DE8F0DA54CCDBF02C6BA81BEE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CDBBA-A227-4F40-9FD6-9A48BA7338A8}"/>
      </w:docPartPr>
      <w:docPartBody>
        <w:p w:rsidR="00277E7D" w:rsidRDefault="00277E7D"/>
      </w:docPartBody>
    </w:docPart>
    <w:docPart>
      <w:docPartPr>
        <w:name w:val="686DA840650A462DB5A9792BCCC62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1DEF5-B92C-468A-9E3E-196060E53FCE}"/>
      </w:docPartPr>
      <w:docPartBody>
        <w:p w:rsidR="00277E7D" w:rsidRDefault="00277E7D"/>
      </w:docPartBody>
    </w:docPart>
    <w:docPart>
      <w:docPartPr>
        <w:name w:val="7EED63BBDB2B45DD82109D9E2A2D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8888A-155A-4D43-A20C-7606D092B892}"/>
      </w:docPartPr>
      <w:docPartBody>
        <w:p w:rsidR="00277E7D" w:rsidRDefault="00277E7D"/>
      </w:docPartBody>
    </w:docPart>
    <w:docPart>
      <w:docPartPr>
        <w:name w:val="51D73D7C7A6F48AD93345FC6BFDB8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6997E-AFE2-467D-8AE4-8B4C267BDC72}"/>
      </w:docPartPr>
      <w:docPartBody>
        <w:p w:rsidR="00277E7D" w:rsidRDefault="00277E7D"/>
      </w:docPartBody>
    </w:docPart>
    <w:docPart>
      <w:docPartPr>
        <w:name w:val="961763B86C3C421BB2E77B5F7E535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6A4189-E3A8-4AD0-A0BC-067A33D1A06C}"/>
      </w:docPartPr>
      <w:docPartBody>
        <w:p w:rsidR="00277E7D" w:rsidRDefault="00277E7D"/>
      </w:docPartBody>
    </w:docPart>
    <w:docPart>
      <w:docPartPr>
        <w:name w:val="6D8DE2DE2D4343588EA40DA42D7C0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E9C0A-89FF-46A3-A4C5-5ABBD39502BE}"/>
      </w:docPartPr>
      <w:docPartBody>
        <w:p w:rsidR="00277E7D" w:rsidRDefault="00277E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05EEB"/>
    <w:rsid w:val="0008436D"/>
    <w:rsid w:val="000B6161"/>
    <w:rsid w:val="00170699"/>
    <w:rsid w:val="001A70EC"/>
    <w:rsid w:val="002000D6"/>
    <w:rsid w:val="00277E7D"/>
    <w:rsid w:val="002B6329"/>
    <w:rsid w:val="00447584"/>
    <w:rsid w:val="005152EE"/>
    <w:rsid w:val="0062787A"/>
    <w:rsid w:val="00697C2D"/>
    <w:rsid w:val="006A56C3"/>
    <w:rsid w:val="007659AB"/>
    <w:rsid w:val="008B7769"/>
    <w:rsid w:val="00965BD9"/>
    <w:rsid w:val="00996DD2"/>
    <w:rsid w:val="00C361C4"/>
    <w:rsid w:val="00C56BB6"/>
    <w:rsid w:val="00D10DDF"/>
    <w:rsid w:val="00DA096C"/>
    <w:rsid w:val="00E5697D"/>
    <w:rsid w:val="00E6373C"/>
    <w:rsid w:val="00E665A5"/>
    <w:rsid w:val="00E75674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4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3063</Words>
  <Characters>18379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21400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Beata Bloch</cp:lastModifiedBy>
  <cp:revision>12</cp:revision>
  <cp:lastPrinted>2015-03-04T15:51:00Z</cp:lastPrinted>
  <dcterms:created xsi:type="dcterms:W3CDTF">2025-02-13T08:20:00Z</dcterms:created>
  <dcterms:modified xsi:type="dcterms:W3CDTF">2025-04-16T09:17:00Z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